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986" w:rsidRDefault="00586986" w:rsidP="00DF7F1E">
      <w:pPr>
        <w:pStyle w:val="Heading3"/>
      </w:pPr>
      <w:bookmarkStart w:id="0" w:name="_Toc459212104"/>
      <w:bookmarkStart w:id="1" w:name="_GoBack"/>
      <w:bookmarkEnd w:id="1"/>
    </w:p>
    <w:p w:rsidR="00586986" w:rsidRDefault="00586986" w:rsidP="00DF7F1E">
      <w:pPr>
        <w:pStyle w:val="Heading3"/>
      </w:pPr>
    </w:p>
    <w:bookmarkEnd w:id="0"/>
    <w:p w:rsidR="00DF7F1E" w:rsidRPr="00A1135B" w:rsidRDefault="00DF7F1E" w:rsidP="00DF7F1E">
      <w:pPr>
        <w:autoSpaceDE w:val="0"/>
        <w:autoSpaceDN w:val="0"/>
        <w:spacing w:line="276" w:lineRule="auto"/>
        <w:rPr>
          <w:b/>
          <w:bCs/>
          <w:color w:val="000000"/>
        </w:rPr>
      </w:pPr>
    </w:p>
    <w:p w:rsidR="00DF7F1E" w:rsidRPr="006C7EF6" w:rsidRDefault="00DF7F1E" w:rsidP="00DF7F1E">
      <w:pPr>
        <w:autoSpaceDE w:val="0"/>
        <w:autoSpaceDN w:val="0"/>
        <w:spacing w:line="276" w:lineRule="auto"/>
        <w:rPr>
          <w:color w:val="044C75"/>
        </w:rPr>
      </w:pPr>
      <w:r w:rsidRPr="006C7EF6">
        <w:rPr>
          <w:b/>
          <w:bCs/>
          <w:color w:val="044C75"/>
        </w:rPr>
        <w:t>Freedom of information statement</w:t>
      </w:r>
    </w:p>
    <w:p w:rsidR="00DF7F1E" w:rsidRPr="00A1135B" w:rsidRDefault="00DF7F1E" w:rsidP="00DF7F1E">
      <w:pPr>
        <w:spacing w:after="312" w:line="276" w:lineRule="auto"/>
        <w:rPr>
          <w:color w:val="0D0D0D"/>
          <w:lang w:val="en" w:eastAsia="en-AU"/>
        </w:rPr>
      </w:pPr>
      <w:r w:rsidRPr="00A1135B">
        <w:rPr>
          <w:color w:val="0D0D0D"/>
          <w:lang w:val="en" w:eastAsia="en-AU"/>
        </w:rPr>
        <w:t>The</w:t>
      </w:r>
      <w:r w:rsidRPr="00A1135B">
        <w:rPr>
          <w:i/>
          <w:iCs/>
          <w:color w:val="0D0D0D"/>
          <w:lang w:val="en" w:eastAsia="en-AU"/>
        </w:rPr>
        <w:t xml:space="preserve"> </w:t>
      </w:r>
      <w:r w:rsidRPr="00A1135B">
        <w:rPr>
          <w:i/>
          <w:color w:val="0D0D0D"/>
          <w:lang w:val="en" w:eastAsia="en-AU"/>
        </w:rPr>
        <w:t>Freedom of Information Act 1992</w:t>
      </w:r>
      <w:r w:rsidRPr="00A1135B">
        <w:rPr>
          <w:color w:val="0D0D0D"/>
          <w:lang w:val="en" w:eastAsia="en-AU"/>
        </w:rPr>
        <w:t xml:space="preserve"> (the FOI Act) was established to enhance public participation in government and increase the accountability of State and local governments.</w:t>
      </w:r>
    </w:p>
    <w:p w:rsidR="00DF7F1E" w:rsidRPr="00A1135B" w:rsidRDefault="00DF7F1E" w:rsidP="00DF7F1E">
      <w:pPr>
        <w:spacing w:after="312" w:line="276" w:lineRule="auto"/>
        <w:rPr>
          <w:color w:val="0D0D0D"/>
          <w:lang w:val="en" w:eastAsia="en-AU"/>
        </w:rPr>
      </w:pPr>
      <w:r w:rsidRPr="00A1135B">
        <w:rPr>
          <w:color w:val="0D0D0D"/>
          <w:lang w:val="en" w:eastAsia="en-AU"/>
        </w:rPr>
        <w:t>In creating a right of public access to government documents, the FOI Act requires agencies to make available details about the kind of documents it holds and provide information as to how they can be accessed.</w:t>
      </w:r>
    </w:p>
    <w:p w:rsidR="00DF7F1E" w:rsidRPr="00A1135B" w:rsidRDefault="00DF7F1E" w:rsidP="00DF7F1E">
      <w:pPr>
        <w:spacing w:after="312" w:line="276" w:lineRule="auto"/>
        <w:rPr>
          <w:color w:val="0D0D0D"/>
          <w:lang w:val="en" w:eastAsia="en-AU"/>
        </w:rPr>
      </w:pPr>
      <w:r w:rsidRPr="00A1135B">
        <w:rPr>
          <w:color w:val="0D0D0D"/>
          <w:lang w:val="en" w:eastAsia="en-AU"/>
        </w:rPr>
        <w:t>Along with enabling the public to understand how government and its agencies operate, the FOI Act also allows people to obtain and seek amendment to personal information about themselves if the information held on the public record is inaccurate, incomplete, out of date or misleading.</w:t>
      </w:r>
    </w:p>
    <w:p w:rsidR="00DF7F1E" w:rsidRPr="00A1135B" w:rsidRDefault="00DF7F1E" w:rsidP="00DF7F1E">
      <w:pPr>
        <w:spacing w:after="200" w:line="276" w:lineRule="auto"/>
        <w:rPr>
          <w:color w:val="0D0D0D"/>
          <w:lang w:val="en" w:eastAsia="en-AU"/>
        </w:rPr>
      </w:pPr>
      <w:r w:rsidRPr="00A1135B">
        <w:rPr>
          <w:color w:val="0D0D0D"/>
          <w:lang w:val="en" w:eastAsia="en-AU"/>
        </w:rPr>
        <w:t>In accordance with the FOI Act, the Health and Disability Services Complaints Office (</w:t>
      </w:r>
      <w:proofErr w:type="spellStart"/>
      <w:r w:rsidRPr="00A1135B">
        <w:rPr>
          <w:color w:val="0D0D0D"/>
          <w:lang w:val="en" w:eastAsia="en-AU"/>
        </w:rPr>
        <w:t>HaDSCO</w:t>
      </w:r>
      <w:proofErr w:type="spellEnd"/>
      <w:r w:rsidRPr="00A1135B">
        <w:rPr>
          <w:color w:val="0D0D0D"/>
          <w:lang w:val="en" w:eastAsia="en-AU"/>
        </w:rPr>
        <w:t>) aims to make information available to the public promptly and at the least possible cost.</w:t>
      </w:r>
    </w:p>
    <w:p w:rsidR="00DF7F1E" w:rsidRPr="00A1135B" w:rsidRDefault="00DF7F1E" w:rsidP="00DF7F1E">
      <w:pPr>
        <w:autoSpaceDE w:val="0"/>
        <w:autoSpaceDN w:val="0"/>
        <w:spacing w:line="276" w:lineRule="auto"/>
        <w:rPr>
          <w:b/>
          <w:bCs/>
          <w:color w:val="000000"/>
        </w:rPr>
      </w:pPr>
      <w:r w:rsidRPr="006C7EF6">
        <w:rPr>
          <w:b/>
          <w:bCs/>
          <w:color w:val="044C75"/>
        </w:rPr>
        <w:t>Health and Disability Services Complaints Office</w:t>
      </w:r>
    </w:p>
    <w:p w:rsidR="00DF7F1E" w:rsidRPr="00A1135B" w:rsidRDefault="00DF7F1E" w:rsidP="00DF7F1E">
      <w:pPr>
        <w:spacing w:line="276" w:lineRule="auto"/>
      </w:pPr>
      <w:proofErr w:type="spellStart"/>
      <w:r w:rsidRPr="00A1135B">
        <w:t>HaDSCO</w:t>
      </w:r>
      <w:proofErr w:type="spellEnd"/>
      <w:r w:rsidRPr="00A1135B">
        <w:t xml:space="preserve"> is an independent </w:t>
      </w:r>
      <w:r>
        <w:t>S</w:t>
      </w:r>
      <w:r w:rsidRPr="00A1135B">
        <w:t xml:space="preserve">tatutory </w:t>
      </w:r>
      <w:r>
        <w:t>A</w:t>
      </w:r>
      <w:r w:rsidRPr="00A1135B">
        <w:t>uthority offering an impartial resolution service for complaints relating to health, disability and mental health services in Western Australia and the Indian Ocean Territories. Our vision is to empower users and providers to collaboratively improve health and disability services.</w:t>
      </w:r>
    </w:p>
    <w:p w:rsidR="00DF7F1E" w:rsidRPr="00A1135B" w:rsidRDefault="00DF7F1E" w:rsidP="00DF7F1E">
      <w:pPr>
        <w:spacing w:line="276" w:lineRule="auto"/>
        <w:rPr>
          <w:rFonts w:eastAsia="Calibri"/>
          <w:i/>
        </w:rPr>
      </w:pPr>
    </w:p>
    <w:p w:rsidR="00DF7F1E" w:rsidRPr="00A1135B" w:rsidRDefault="00DF7F1E" w:rsidP="00DF7F1E">
      <w:pPr>
        <w:spacing w:line="276" w:lineRule="auto"/>
        <w:outlineLvl w:val="0"/>
        <w:rPr>
          <w:rFonts w:eastAsia="Calibri"/>
        </w:rPr>
      </w:pPr>
      <w:bookmarkStart w:id="2" w:name="_Toc459212105"/>
      <w:r w:rsidRPr="00A1135B">
        <w:rPr>
          <w:rFonts w:eastAsia="Calibri"/>
          <w:lang w:eastAsia="en-AU"/>
        </w:rPr>
        <w:t>The Office is</w:t>
      </w:r>
      <w:r w:rsidRPr="00A1135B">
        <w:rPr>
          <w:rFonts w:eastAsia="Calibri"/>
        </w:rPr>
        <w:t xml:space="preserve"> required to administer legislation on behalf of the State Government. Legislation administered outlines the responsibilities and processes required to manage complaints.</w:t>
      </w:r>
      <w:bookmarkEnd w:id="2"/>
      <w:r w:rsidRPr="00A1135B">
        <w:rPr>
          <w:rFonts w:eastAsia="Calibri"/>
        </w:rPr>
        <w:t xml:space="preserve"> </w:t>
      </w:r>
    </w:p>
    <w:p w:rsidR="00DF7F1E" w:rsidRPr="00A1135B" w:rsidRDefault="00DF7F1E" w:rsidP="00DF7F1E">
      <w:pPr>
        <w:spacing w:line="276" w:lineRule="auto"/>
        <w:outlineLvl w:val="0"/>
        <w:rPr>
          <w:rFonts w:eastAsia="Calibri"/>
        </w:rPr>
      </w:pPr>
    </w:p>
    <w:p w:rsidR="00DF7F1E" w:rsidRPr="00A1135B" w:rsidRDefault="00DF7F1E" w:rsidP="00DF7F1E">
      <w:pPr>
        <w:spacing w:line="276" w:lineRule="auto"/>
        <w:outlineLvl w:val="0"/>
        <w:rPr>
          <w:rFonts w:eastAsia="Calibri"/>
        </w:rPr>
      </w:pPr>
      <w:bookmarkStart w:id="3" w:name="_Toc459212106"/>
      <w:proofErr w:type="spellStart"/>
      <w:r w:rsidRPr="00A1135B">
        <w:rPr>
          <w:rFonts w:eastAsia="Calibri"/>
        </w:rPr>
        <w:t>HaDSCO</w:t>
      </w:r>
      <w:proofErr w:type="spellEnd"/>
      <w:r w:rsidRPr="00A1135B">
        <w:rPr>
          <w:rFonts w:eastAsia="Calibri"/>
        </w:rPr>
        <w:t xml:space="preserve"> administers the following legislation:</w:t>
      </w:r>
      <w:bookmarkEnd w:id="3"/>
    </w:p>
    <w:p w:rsidR="00DF7F1E" w:rsidRPr="00A1135B" w:rsidRDefault="00DF7F1E" w:rsidP="00DF7F1E">
      <w:pPr>
        <w:numPr>
          <w:ilvl w:val="0"/>
          <w:numId w:val="1"/>
        </w:numPr>
        <w:spacing w:line="276" w:lineRule="auto"/>
        <w:contextualSpacing/>
        <w:rPr>
          <w:rFonts w:eastAsia="Calibri"/>
        </w:rPr>
      </w:pPr>
      <w:r w:rsidRPr="00A1135B">
        <w:rPr>
          <w:rFonts w:eastAsia="Calibri"/>
          <w:i/>
        </w:rPr>
        <w:t xml:space="preserve">Health and Disability Services (Complaints) Act 1995 </w:t>
      </w:r>
    </w:p>
    <w:p w:rsidR="00DF7F1E" w:rsidRPr="00A1135B" w:rsidRDefault="00DF7F1E" w:rsidP="00DF7F1E">
      <w:pPr>
        <w:numPr>
          <w:ilvl w:val="0"/>
          <w:numId w:val="1"/>
        </w:numPr>
        <w:spacing w:line="276" w:lineRule="auto"/>
        <w:contextualSpacing/>
        <w:rPr>
          <w:rFonts w:eastAsia="Calibri"/>
        </w:rPr>
      </w:pPr>
      <w:r w:rsidRPr="00A1135B">
        <w:rPr>
          <w:rFonts w:eastAsia="Calibri"/>
        </w:rPr>
        <w:t xml:space="preserve">Part 6 of the </w:t>
      </w:r>
      <w:r w:rsidRPr="00A1135B">
        <w:rPr>
          <w:rFonts w:eastAsia="Calibri"/>
          <w:i/>
        </w:rPr>
        <w:t>Disability Services Act 1993</w:t>
      </w:r>
    </w:p>
    <w:p w:rsidR="00DF7F1E" w:rsidRPr="00A1135B" w:rsidRDefault="00DF7F1E" w:rsidP="00DF7F1E">
      <w:pPr>
        <w:numPr>
          <w:ilvl w:val="0"/>
          <w:numId w:val="1"/>
        </w:numPr>
        <w:spacing w:line="276" w:lineRule="auto"/>
        <w:contextualSpacing/>
        <w:rPr>
          <w:rFonts w:eastAsia="Calibri"/>
        </w:rPr>
      </w:pPr>
      <w:r w:rsidRPr="00A1135B">
        <w:rPr>
          <w:rFonts w:eastAsia="Calibri"/>
        </w:rPr>
        <w:t xml:space="preserve">Part 19 of the </w:t>
      </w:r>
      <w:r w:rsidRPr="00A1135B">
        <w:rPr>
          <w:rFonts w:eastAsia="Calibri"/>
          <w:i/>
        </w:rPr>
        <w:t>Mental Health Act 2014</w:t>
      </w:r>
    </w:p>
    <w:p w:rsidR="00DF7F1E" w:rsidRPr="00A1135B" w:rsidRDefault="00DF7F1E" w:rsidP="00DF7F1E">
      <w:pPr>
        <w:spacing w:line="276" w:lineRule="auto"/>
        <w:ind w:left="720"/>
        <w:contextualSpacing/>
        <w:rPr>
          <w:rFonts w:eastAsia="Calibri"/>
        </w:rPr>
      </w:pPr>
    </w:p>
    <w:p w:rsidR="00DF7F1E" w:rsidRPr="00A1135B" w:rsidRDefault="00DF7F1E" w:rsidP="00DF7F1E">
      <w:pPr>
        <w:spacing w:line="276" w:lineRule="auto"/>
        <w:rPr>
          <w:rFonts w:eastAsia="Calibri"/>
        </w:rPr>
      </w:pPr>
      <w:r w:rsidRPr="00A1135B">
        <w:rPr>
          <w:rFonts w:eastAsia="Calibri"/>
        </w:rPr>
        <w:t xml:space="preserve">Under this legislation, </w:t>
      </w:r>
      <w:proofErr w:type="spellStart"/>
      <w:r w:rsidRPr="00A1135B">
        <w:rPr>
          <w:rFonts w:eastAsia="Calibri"/>
        </w:rPr>
        <w:t>HaDSCO’s</w:t>
      </w:r>
      <w:proofErr w:type="spellEnd"/>
      <w:r w:rsidRPr="00A1135B">
        <w:rPr>
          <w:rFonts w:eastAsia="Calibri"/>
        </w:rPr>
        <w:t xml:space="preserve"> main functions are to:</w:t>
      </w:r>
    </w:p>
    <w:p w:rsidR="00DF7F1E" w:rsidRPr="00A1135B" w:rsidRDefault="00DF7F1E" w:rsidP="00DF7F1E">
      <w:pPr>
        <w:numPr>
          <w:ilvl w:val="0"/>
          <w:numId w:val="2"/>
        </w:numPr>
        <w:spacing w:line="276" w:lineRule="auto"/>
        <w:contextualSpacing/>
        <w:rPr>
          <w:rFonts w:eastAsia="Calibri"/>
        </w:rPr>
      </w:pPr>
      <w:r w:rsidRPr="00A1135B">
        <w:rPr>
          <w:rFonts w:eastAsia="Calibri"/>
        </w:rPr>
        <w:t>Deal with complaints by conciliation, negotiated settlement or investigation</w:t>
      </w:r>
      <w:r>
        <w:rPr>
          <w:rFonts w:eastAsia="Calibri"/>
        </w:rPr>
        <w:t>.</w:t>
      </w:r>
    </w:p>
    <w:p w:rsidR="00DF7F1E" w:rsidRPr="00A1135B" w:rsidRDefault="00DF7F1E" w:rsidP="00DF7F1E">
      <w:pPr>
        <w:numPr>
          <w:ilvl w:val="0"/>
          <w:numId w:val="2"/>
        </w:numPr>
        <w:spacing w:line="276" w:lineRule="auto"/>
        <w:contextualSpacing/>
        <w:rPr>
          <w:rFonts w:eastAsia="Calibri"/>
        </w:rPr>
      </w:pPr>
      <w:r w:rsidRPr="00A1135B">
        <w:rPr>
          <w:rFonts w:eastAsia="Calibri"/>
        </w:rPr>
        <w:t>Review and identify the causes of complaints</w:t>
      </w:r>
      <w:r>
        <w:rPr>
          <w:rFonts w:eastAsia="Calibri"/>
        </w:rPr>
        <w:t>.</w:t>
      </w:r>
    </w:p>
    <w:p w:rsidR="00DF7F1E" w:rsidRPr="00A1135B" w:rsidRDefault="00DF7F1E" w:rsidP="00DF7F1E">
      <w:pPr>
        <w:numPr>
          <w:ilvl w:val="0"/>
          <w:numId w:val="2"/>
        </w:numPr>
        <w:spacing w:line="276" w:lineRule="auto"/>
        <w:contextualSpacing/>
        <w:rPr>
          <w:rFonts w:eastAsia="Calibri"/>
        </w:rPr>
      </w:pPr>
      <w:r w:rsidRPr="00A1135B">
        <w:rPr>
          <w:rFonts w:eastAsia="Calibri"/>
        </w:rPr>
        <w:t>Provide advice and make recommendations for service improvement</w:t>
      </w:r>
      <w:r>
        <w:rPr>
          <w:rFonts w:eastAsia="Calibri"/>
        </w:rPr>
        <w:t>.</w:t>
      </w:r>
    </w:p>
    <w:p w:rsidR="00DF7F1E" w:rsidRPr="00A1135B" w:rsidRDefault="00DF7F1E" w:rsidP="00DF7F1E">
      <w:pPr>
        <w:numPr>
          <w:ilvl w:val="0"/>
          <w:numId w:val="2"/>
        </w:numPr>
        <w:spacing w:line="276" w:lineRule="auto"/>
        <w:contextualSpacing/>
        <w:rPr>
          <w:rFonts w:eastAsia="Calibri"/>
        </w:rPr>
      </w:pPr>
      <w:r w:rsidRPr="00A1135B">
        <w:rPr>
          <w:rFonts w:eastAsia="Calibri"/>
        </w:rPr>
        <w:t>Educate users and providers about complaint handling procedures</w:t>
      </w:r>
      <w:r>
        <w:rPr>
          <w:rFonts w:eastAsia="Calibri"/>
        </w:rPr>
        <w:t>.</w:t>
      </w:r>
    </w:p>
    <w:p w:rsidR="00DF7F1E" w:rsidRPr="00A1135B" w:rsidRDefault="00DF7F1E" w:rsidP="00DF7F1E">
      <w:pPr>
        <w:numPr>
          <w:ilvl w:val="0"/>
          <w:numId w:val="2"/>
        </w:numPr>
        <w:spacing w:line="276" w:lineRule="auto"/>
        <w:contextualSpacing/>
        <w:rPr>
          <w:rFonts w:eastAsia="Calibri"/>
        </w:rPr>
      </w:pPr>
      <w:r w:rsidRPr="00A1135B">
        <w:rPr>
          <w:rFonts w:eastAsia="Calibri"/>
        </w:rPr>
        <w:t>Inquire into broader issues of health and disability care arising from complaints received</w:t>
      </w:r>
      <w:r>
        <w:rPr>
          <w:rFonts w:eastAsia="Calibri"/>
        </w:rPr>
        <w:t>.</w:t>
      </w:r>
    </w:p>
    <w:p w:rsidR="00DF7F1E" w:rsidRPr="00A1135B" w:rsidRDefault="00DF7F1E" w:rsidP="00DF7F1E">
      <w:pPr>
        <w:numPr>
          <w:ilvl w:val="0"/>
          <w:numId w:val="2"/>
        </w:numPr>
        <w:spacing w:line="276" w:lineRule="auto"/>
        <w:contextualSpacing/>
        <w:rPr>
          <w:rFonts w:eastAsia="Calibri"/>
        </w:rPr>
      </w:pPr>
      <w:r w:rsidRPr="00A1135B">
        <w:rPr>
          <w:rFonts w:eastAsia="Calibri"/>
        </w:rPr>
        <w:lastRenderedPageBreak/>
        <w:t>Work in collaboration with users and providers to improve health and disability services</w:t>
      </w:r>
      <w:r>
        <w:rPr>
          <w:rFonts w:eastAsia="Calibri"/>
        </w:rPr>
        <w:t>.</w:t>
      </w:r>
    </w:p>
    <w:p w:rsidR="00DF7F1E" w:rsidRPr="00A1135B" w:rsidRDefault="00DF7F1E" w:rsidP="00DF7F1E">
      <w:pPr>
        <w:numPr>
          <w:ilvl w:val="0"/>
          <w:numId w:val="2"/>
        </w:numPr>
        <w:spacing w:line="276" w:lineRule="auto"/>
        <w:contextualSpacing/>
        <w:rPr>
          <w:rFonts w:eastAsia="Calibri"/>
        </w:rPr>
      </w:pPr>
      <w:r w:rsidRPr="00A1135B">
        <w:rPr>
          <w:rFonts w:eastAsia="Calibri"/>
        </w:rPr>
        <w:t>Publish the work of the Office</w:t>
      </w:r>
      <w:r>
        <w:rPr>
          <w:rFonts w:eastAsia="Calibri"/>
        </w:rPr>
        <w:t>.</w:t>
      </w:r>
    </w:p>
    <w:p w:rsidR="00DF7F1E" w:rsidRPr="00A1135B" w:rsidRDefault="00DF7F1E" w:rsidP="00DF7F1E">
      <w:pPr>
        <w:numPr>
          <w:ilvl w:val="0"/>
          <w:numId w:val="2"/>
        </w:numPr>
        <w:spacing w:line="276" w:lineRule="auto"/>
        <w:contextualSpacing/>
        <w:rPr>
          <w:rFonts w:eastAsia="Calibri"/>
        </w:rPr>
      </w:pPr>
      <w:r w:rsidRPr="00A1135B">
        <w:rPr>
          <w:rFonts w:eastAsia="Calibri"/>
        </w:rPr>
        <w:t>Perform any other function conferred on the Director by the Act or another written law</w:t>
      </w:r>
      <w:r>
        <w:rPr>
          <w:rFonts w:eastAsia="Calibri"/>
        </w:rPr>
        <w:t>.</w:t>
      </w:r>
    </w:p>
    <w:p w:rsidR="00DF7F1E" w:rsidRPr="00D77FCA" w:rsidRDefault="00DF7F1E" w:rsidP="00DF7F1E">
      <w:pPr>
        <w:spacing w:line="276" w:lineRule="auto"/>
        <w:rPr>
          <w:rFonts w:eastAsia="Calibri"/>
        </w:rPr>
      </w:pPr>
      <w:r w:rsidRPr="00A1135B">
        <w:rPr>
          <w:rFonts w:eastAsia="Calibri"/>
        </w:rPr>
        <w:br/>
        <w:t>In accordance with the legislation, the office is able to do all things that are</w:t>
      </w:r>
      <w:r>
        <w:rPr>
          <w:rFonts w:eastAsia="Calibri"/>
        </w:rPr>
        <w:t xml:space="preserve"> </w:t>
      </w:r>
      <w:r w:rsidRPr="00A1135B">
        <w:rPr>
          <w:rFonts w:eastAsia="Calibri"/>
        </w:rPr>
        <w:t>necessary, or convenient to be done, in order to perform these functions.</w:t>
      </w:r>
      <w:r>
        <w:rPr>
          <w:rFonts w:eastAsia="Calibri"/>
        </w:rPr>
        <w:br/>
      </w:r>
    </w:p>
    <w:p w:rsidR="00DF7F1E" w:rsidRPr="00A1135B" w:rsidRDefault="00DF7F1E" w:rsidP="00DF7F1E">
      <w:pPr>
        <w:autoSpaceDE w:val="0"/>
        <w:autoSpaceDN w:val="0"/>
        <w:spacing w:line="276" w:lineRule="auto"/>
        <w:rPr>
          <w:b/>
          <w:bCs/>
          <w:color w:val="000000"/>
        </w:rPr>
      </w:pPr>
      <w:r w:rsidRPr="006C7EF6">
        <w:rPr>
          <w:b/>
          <w:bCs/>
          <w:color w:val="044C75"/>
        </w:rPr>
        <w:t>Freedom of Information applications</w:t>
      </w:r>
    </w:p>
    <w:p w:rsidR="00DF7F1E" w:rsidRPr="00A1135B" w:rsidRDefault="00DF7F1E" w:rsidP="00DF7F1E">
      <w:pPr>
        <w:spacing w:line="276" w:lineRule="auto"/>
        <w:rPr>
          <w:color w:val="0D0D0D"/>
          <w:lang w:val="en" w:eastAsia="en-AU"/>
        </w:rPr>
      </w:pPr>
      <w:r w:rsidRPr="00A1135B">
        <w:rPr>
          <w:color w:val="0D0D0D"/>
          <w:lang w:val="en" w:eastAsia="en-AU"/>
        </w:rPr>
        <w:t xml:space="preserve">The FOI Act </w:t>
      </w:r>
      <w:proofErr w:type="spellStart"/>
      <w:r w:rsidRPr="00A1135B">
        <w:rPr>
          <w:color w:val="0D0D0D"/>
          <w:lang w:val="en" w:eastAsia="en-AU"/>
        </w:rPr>
        <w:t>recognises</w:t>
      </w:r>
      <w:proofErr w:type="spellEnd"/>
      <w:r w:rsidRPr="00A1135B">
        <w:rPr>
          <w:color w:val="0D0D0D"/>
          <w:lang w:val="en" w:eastAsia="en-AU"/>
        </w:rPr>
        <w:t xml:space="preserve"> two kinds of requests for information, personal and non-personal information.</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t xml:space="preserve">Clause </w:t>
      </w:r>
      <w:r>
        <w:rPr>
          <w:color w:val="0D0D0D"/>
          <w:lang w:val="en" w:eastAsia="en-AU"/>
        </w:rPr>
        <w:t>1</w:t>
      </w:r>
      <w:r w:rsidRPr="00A1135B">
        <w:rPr>
          <w:color w:val="0D0D0D"/>
          <w:lang w:val="en" w:eastAsia="en-AU"/>
        </w:rPr>
        <w:t xml:space="preserve">, Schedule </w:t>
      </w:r>
      <w:r>
        <w:rPr>
          <w:color w:val="0D0D0D"/>
          <w:lang w:val="en" w:eastAsia="en-AU"/>
        </w:rPr>
        <w:t>2</w:t>
      </w:r>
      <w:r w:rsidRPr="00A1135B">
        <w:rPr>
          <w:color w:val="0D0D0D"/>
          <w:lang w:val="en" w:eastAsia="en-AU"/>
        </w:rPr>
        <w:t xml:space="preserve"> of the FOI Act defines personal information as ‘information or an opinion, whether true or not, and whether recorded in a material form, or not, about an individual whether living or dead</w:t>
      </w:r>
      <w:r>
        <w:rPr>
          <w:color w:val="0D0D0D"/>
          <w:lang w:val="en" w:eastAsia="en-AU"/>
        </w:rPr>
        <w:t>’</w:t>
      </w:r>
      <w:r w:rsidRPr="00A1135B">
        <w:rPr>
          <w:color w:val="0D0D0D"/>
          <w:lang w:val="en" w:eastAsia="en-AU"/>
        </w:rPr>
        <w:t xml:space="preserve">. This includes, but is not limited to, information from which the identity of an individual is apparent or can reasonably be ascertained. </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t xml:space="preserve">Non-personal information </w:t>
      </w:r>
      <w:r>
        <w:rPr>
          <w:color w:val="0D0D0D"/>
          <w:lang w:val="en" w:eastAsia="en-AU"/>
        </w:rPr>
        <w:t xml:space="preserve">relates to </w:t>
      </w:r>
      <w:r w:rsidRPr="00A1135B">
        <w:rPr>
          <w:color w:val="0D0D0D"/>
          <w:lang w:val="en" w:eastAsia="en-AU"/>
        </w:rPr>
        <w:t xml:space="preserve">information concerning people other than the </w:t>
      </w:r>
      <w:r>
        <w:rPr>
          <w:color w:val="0D0D0D"/>
          <w:lang w:val="en" w:eastAsia="en-AU"/>
        </w:rPr>
        <w:t>F</w:t>
      </w:r>
      <w:r w:rsidRPr="00A1135B">
        <w:rPr>
          <w:color w:val="0D0D0D"/>
          <w:lang w:val="en" w:eastAsia="en-AU"/>
        </w:rPr>
        <w:t>OI access applicant. This also includes, but is not limited to, information, opinions, contact details or genetic information.</w:t>
      </w:r>
    </w:p>
    <w:p w:rsidR="00DF7F1E" w:rsidRPr="00A1135B" w:rsidRDefault="00DF7F1E" w:rsidP="00DF7F1E">
      <w:pPr>
        <w:spacing w:line="276" w:lineRule="auto"/>
        <w:rPr>
          <w:color w:val="0D0D0D"/>
          <w:lang w:val="en" w:eastAsia="en-AU"/>
        </w:rPr>
      </w:pPr>
    </w:p>
    <w:p w:rsidR="00DF7F1E" w:rsidRPr="00A1135B" w:rsidRDefault="00DF7F1E" w:rsidP="006C7EF6">
      <w:pPr>
        <w:autoSpaceDE w:val="0"/>
        <w:autoSpaceDN w:val="0"/>
        <w:spacing w:line="276" w:lineRule="auto"/>
        <w:rPr>
          <w:b/>
          <w:lang w:val="en" w:eastAsia="en-AU"/>
        </w:rPr>
      </w:pPr>
      <w:r w:rsidRPr="006C7EF6">
        <w:rPr>
          <w:b/>
          <w:bCs/>
          <w:color w:val="044C75"/>
        </w:rPr>
        <w:t>Application submission</w:t>
      </w:r>
    </w:p>
    <w:p w:rsidR="00DF7F1E" w:rsidRPr="00A1135B" w:rsidRDefault="00DF7F1E" w:rsidP="00DF7F1E">
      <w:pPr>
        <w:spacing w:line="276" w:lineRule="auto"/>
        <w:rPr>
          <w:bCs/>
          <w:color w:val="0D0D0D"/>
          <w:kern w:val="36"/>
          <w:lang w:val="en" w:eastAsia="en-AU"/>
        </w:rPr>
      </w:pPr>
      <w:r w:rsidRPr="00A1135B">
        <w:rPr>
          <w:lang w:val="en" w:eastAsia="en-AU"/>
        </w:rPr>
        <w:t>In accordance with s.12 of the FOI Act applications must:</w:t>
      </w:r>
    </w:p>
    <w:p w:rsidR="00DF7F1E" w:rsidRPr="00A1135B" w:rsidRDefault="00DF7F1E" w:rsidP="00DF7F1E">
      <w:pPr>
        <w:numPr>
          <w:ilvl w:val="0"/>
          <w:numId w:val="5"/>
        </w:numPr>
        <w:spacing w:before="100" w:beforeAutospacing="1" w:after="24" w:line="276" w:lineRule="auto"/>
        <w:contextualSpacing/>
        <w:outlineLvl w:val="0"/>
        <w:rPr>
          <w:bCs/>
          <w:color w:val="0D0D0D"/>
          <w:kern w:val="36"/>
          <w:lang w:val="en" w:eastAsia="en-AU"/>
        </w:rPr>
      </w:pPr>
      <w:bookmarkStart w:id="4" w:name="_Toc459212107"/>
      <w:r w:rsidRPr="00A1135B">
        <w:rPr>
          <w:bCs/>
          <w:color w:val="0D0D0D"/>
          <w:kern w:val="36"/>
          <w:lang w:val="en" w:eastAsia="en-AU"/>
        </w:rPr>
        <w:t>be in writing;</w:t>
      </w:r>
      <w:bookmarkEnd w:id="4"/>
    </w:p>
    <w:p w:rsidR="00DF7F1E" w:rsidRPr="00A1135B" w:rsidRDefault="00DF7F1E" w:rsidP="00DF7F1E">
      <w:pPr>
        <w:numPr>
          <w:ilvl w:val="0"/>
          <w:numId w:val="5"/>
        </w:numPr>
        <w:spacing w:before="100" w:beforeAutospacing="1" w:after="24" w:line="276" w:lineRule="auto"/>
        <w:contextualSpacing/>
        <w:outlineLvl w:val="0"/>
        <w:rPr>
          <w:bCs/>
          <w:color w:val="0D0D0D"/>
          <w:kern w:val="36"/>
          <w:lang w:val="en" w:eastAsia="en-AU"/>
        </w:rPr>
      </w:pPr>
      <w:bookmarkStart w:id="5" w:name="_Toc459212108"/>
      <w:r w:rsidRPr="00A1135B">
        <w:rPr>
          <w:bCs/>
          <w:color w:val="0D0D0D"/>
          <w:kern w:val="36"/>
          <w:lang w:val="en" w:eastAsia="en-AU"/>
        </w:rPr>
        <w:t>provide enough information so that the requested document can be identified;</w:t>
      </w:r>
      <w:bookmarkEnd w:id="5"/>
    </w:p>
    <w:p w:rsidR="00DF7F1E" w:rsidRPr="00A1135B" w:rsidRDefault="00DF7F1E" w:rsidP="00DF7F1E">
      <w:pPr>
        <w:numPr>
          <w:ilvl w:val="0"/>
          <w:numId w:val="5"/>
        </w:numPr>
        <w:spacing w:before="100" w:beforeAutospacing="1" w:after="24" w:line="276" w:lineRule="auto"/>
        <w:contextualSpacing/>
        <w:outlineLvl w:val="0"/>
        <w:rPr>
          <w:bCs/>
          <w:color w:val="0D0D0D"/>
          <w:kern w:val="36"/>
          <w:lang w:val="en" w:eastAsia="en-AU"/>
        </w:rPr>
      </w:pPr>
      <w:bookmarkStart w:id="6" w:name="_Toc459212109"/>
      <w:r w:rsidRPr="00A1135B">
        <w:rPr>
          <w:bCs/>
          <w:color w:val="0D0D0D"/>
          <w:kern w:val="36"/>
          <w:lang w:val="en" w:eastAsia="en-AU"/>
        </w:rPr>
        <w:t>provide an Australian address to which notices can be sent; and</w:t>
      </w:r>
      <w:bookmarkEnd w:id="6"/>
    </w:p>
    <w:p w:rsidR="00DF7F1E" w:rsidRPr="00A1135B" w:rsidRDefault="00B3099E" w:rsidP="00DF7F1E">
      <w:pPr>
        <w:numPr>
          <w:ilvl w:val="0"/>
          <w:numId w:val="5"/>
        </w:numPr>
        <w:spacing w:before="100" w:beforeAutospacing="1" w:after="24" w:line="276" w:lineRule="auto"/>
        <w:contextualSpacing/>
        <w:outlineLvl w:val="0"/>
        <w:rPr>
          <w:bCs/>
          <w:color w:val="0D0D0D"/>
          <w:kern w:val="36"/>
          <w:lang w:val="en" w:eastAsia="en-AU"/>
        </w:rPr>
      </w:pPr>
      <w:bookmarkStart w:id="7" w:name="_Toc459212110"/>
      <w:proofErr w:type="gramStart"/>
      <w:r>
        <w:rPr>
          <w:bCs/>
          <w:color w:val="0D0D0D"/>
          <w:kern w:val="36"/>
          <w:lang w:val="en" w:eastAsia="en-AU"/>
        </w:rPr>
        <w:t>be</w:t>
      </w:r>
      <w:proofErr w:type="gramEnd"/>
      <w:r>
        <w:rPr>
          <w:bCs/>
          <w:color w:val="0D0D0D"/>
          <w:kern w:val="36"/>
          <w:lang w:val="en" w:eastAsia="en-AU"/>
        </w:rPr>
        <w:t xml:space="preserve"> </w:t>
      </w:r>
      <w:r w:rsidR="00DF7F1E" w:rsidRPr="00A1135B">
        <w:rPr>
          <w:bCs/>
          <w:color w:val="0D0D0D"/>
          <w:kern w:val="36"/>
          <w:lang w:val="en" w:eastAsia="en-AU"/>
        </w:rPr>
        <w:t>lodged at the agency together with the application fee (if required).</w:t>
      </w:r>
      <w:bookmarkEnd w:id="7"/>
    </w:p>
    <w:p w:rsidR="00DF7F1E" w:rsidRPr="00A1135B" w:rsidRDefault="00DF7F1E" w:rsidP="00DF7F1E">
      <w:pPr>
        <w:spacing w:before="100" w:beforeAutospacing="1" w:after="24" w:line="276" w:lineRule="auto"/>
        <w:ind w:left="1080"/>
        <w:contextualSpacing/>
        <w:outlineLvl w:val="0"/>
        <w:rPr>
          <w:bCs/>
          <w:color w:val="0D0D0D"/>
          <w:kern w:val="36"/>
          <w:lang w:val="en" w:eastAsia="en-AU"/>
        </w:rPr>
      </w:pPr>
    </w:p>
    <w:p w:rsidR="00DF7F1E" w:rsidRPr="00A1135B" w:rsidRDefault="00DF7F1E" w:rsidP="00DF7F1E">
      <w:pPr>
        <w:spacing w:after="312" w:line="276" w:lineRule="auto"/>
        <w:rPr>
          <w:lang w:val="en" w:eastAsia="en-AU"/>
        </w:rPr>
      </w:pPr>
      <w:r w:rsidRPr="00A1135B">
        <w:rPr>
          <w:lang w:val="en" w:eastAsia="en-AU"/>
        </w:rPr>
        <w:t>Applications by post or by email can be made as follows:</w:t>
      </w:r>
    </w:p>
    <w:p w:rsidR="00DF7F1E" w:rsidRDefault="00DF7F1E" w:rsidP="00DF7F1E">
      <w:pPr>
        <w:spacing w:line="276" w:lineRule="auto"/>
        <w:rPr>
          <w:bCs/>
          <w:color w:val="0D0D0D"/>
          <w:lang w:val="en" w:eastAsia="en-AU"/>
        </w:rPr>
      </w:pPr>
      <w:r w:rsidRPr="00A1135B">
        <w:rPr>
          <w:bCs/>
          <w:lang w:val="en" w:eastAsia="en-AU"/>
        </w:rPr>
        <w:t>By post</w:t>
      </w:r>
      <w:r w:rsidRPr="00A1135B">
        <w:rPr>
          <w:bCs/>
          <w:color w:val="0D0D0D"/>
          <w:lang w:val="en" w:eastAsia="en-AU"/>
        </w:rPr>
        <w:t xml:space="preserve">: </w:t>
      </w:r>
      <w:r>
        <w:rPr>
          <w:bCs/>
          <w:color w:val="0D0D0D"/>
          <w:lang w:val="en" w:eastAsia="en-AU"/>
        </w:rPr>
        <w:tab/>
      </w:r>
      <w:r>
        <w:rPr>
          <w:bCs/>
          <w:color w:val="0D0D0D"/>
          <w:lang w:val="en" w:eastAsia="en-AU"/>
        </w:rPr>
        <w:tab/>
      </w:r>
      <w:r>
        <w:rPr>
          <w:bCs/>
          <w:color w:val="0D0D0D"/>
          <w:lang w:val="en" w:eastAsia="en-AU"/>
        </w:rPr>
        <w:tab/>
      </w:r>
      <w:r>
        <w:rPr>
          <w:bCs/>
          <w:color w:val="0D0D0D"/>
          <w:lang w:val="en" w:eastAsia="en-AU"/>
        </w:rPr>
        <w:tab/>
      </w:r>
      <w:r>
        <w:rPr>
          <w:bCs/>
          <w:color w:val="0D0D0D"/>
          <w:lang w:val="en" w:eastAsia="en-AU"/>
        </w:rPr>
        <w:tab/>
      </w:r>
      <w:r>
        <w:rPr>
          <w:bCs/>
          <w:color w:val="0D0D0D"/>
          <w:lang w:val="en" w:eastAsia="en-AU"/>
        </w:rPr>
        <w:tab/>
      </w:r>
      <w:r w:rsidRPr="00A1135B">
        <w:rPr>
          <w:color w:val="0D0D0D"/>
          <w:lang w:val="en" w:eastAsia="en-AU"/>
        </w:rPr>
        <w:t>By email:</w:t>
      </w:r>
    </w:p>
    <w:p w:rsidR="00DF7F1E" w:rsidRPr="00A1135B" w:rsidRDefault="00DF7F1E" w:rsidP="00DF7F1E">
      <w:pPr>
        <w:spacing w:line="276" w:lineRule="auto"/>
        <w:rPr>
          <w:color w:val="0D0D0D"/>
          <w:lang w:val="en" w:eastAsia="en-AU"/>
        </w:rPr>
      </w:pPr>
      <w:r w:rsidRPr="00A1135B">
        <w:rPr>
          <w:color w:val="0D0D0D"/>
          <w:lang w:val="en" w:eastAsia="en-AU"/>
        </w:rPr>
        <w:t>FOI Coordinator</w:t>
      </w:r>
      <w:r>
        <w:rPr>
          <w:color w:val="0D0D0D"/>
          <w:lang w:val="en" w:eastAsia="en-AU"/>
        </w:rPr>
        <w:tab/>
      </w:r>
      <w:r>
        <w:rPr>
          <w:color w:val="0D0D0D"/>
          <w:lang w:val="en" w:eastAsia="en-AU"/>
        </w:rPr>
        <w:tab/>
      </w:r>
      <w:r>
        <w:rPr>
          <w:color w:val="0D0D0D"/>
          <w:lang w:val="en" w:eastAsia="en-AU"/>
        </w:rPr>
        <w:tab/>
      </w:r>
      <w:r>
        <w:rPr>
          <w:color w:val="0D0D0D"/>
          <w:lang w:val="en" w:eastAsia="en-AU"/>
        </w:rPr>
        <w:tab/>
      </w:r>
      <w:r>
        <w:rPr>
          <w:color w:val="0D0D0D"/>
          <w:lang w:val="en" w:eastAsia="en-AU"/>
        </w:rPr>
        <w:tab/>
      </w:r>
      <w:r w:rsidRPr="00A1135B">
        <w:rPr>
          <w:color w:val="0D0D0D"/>
          <w:lang w:val="en" w:eastAsia="en-AU"/>
        </w:rPr>
        <w:t>FOI Coordinator</w:t>
      </w:r>
    </w:p>
    <w:p w:rsidR="00DF7F1E" w:rsidRPr="00A1135B" w:rsidRDefault="00DF7F1E" w:rsidP="00DF7F1E">
      <w:pPr>
        <w:spacing w:line="276" w:lineRule="auto"/>
        <w:rPr>
          <w:color w:val="0D0D0D"/>
          <w:lang w:val="en" w:eastAsia="en-AU"/>
        </w:rPr>
      </w:pPr>
      <w:r w:rsidRPr="00A1135B">
        <w:rPr>
          <w:color w:val="0D0D0D"/>
          <w:lang w:val="en" w:eastAsia="en-AU"/>
        </w:rPr>
        <w:t>PO Box B61</w:t>
      </w:r>
      <w:r>
        <w:rPr>
          <w:color w:val="0D0D0D"/>
          <w:lang w:val="en" w:eastAsia="en-AU"/>
        </w:rPr>
        <w:tab/>
      </w:r>
      <w:r>
        <w:rPr>
          <w:color w:val="0D0D0D"/>
          <w:lang w:val="en" w:eastAsia="en-AU"/>
        </w:rPr>
        <w:tab/>
      </w:r>
      <w:r>
        <w:rPr>
          <w:color w:val="0D0D0D"/>
          <w:lang w:val="en" w:eastAsia="en-AU"/>
        </w:rPr>
        <w:tab/>
      </w:r>
      <w:r>
        <w:rPr>
          <w:color w:val="0D0D0D"/>
          <w:lang w:val="en" w:eastAsia="en-AU"/>
        </w:rPr>
        <w:tab/>
      </w:r>
      <w:r>
        <w:rPr>
          <w:color w:val="0D0D0D"/>
          <w:lang w:val="en" w:eastAsia="en-AU"/>
        </w:rPr>
        <w:tab/>
      </w:r>
      <w:r>
        <w:rPr>
          <w:color w:val="0D0D0D"/>
          <w:lang w:val="en" w:eastAsia="en-AU"/>
        </w:rPr>
        <w:tab/>
      </w:r>
      <w:hyperlink r:id="rId8" w:history="1">
        <w:r w:rsidRPr="007D7B45">
          <w:rPr>
            <w:rStyle w:val="Hyperlink"/>
            <w:lang w:val="en" w:eastAsia="en-AU"/>
          </w:rPr>
          <w:t>mail@hadsco.wa.gov.au</w:t>
        </w:r>
      </w:hyperlink>
    </w:p>
    <w:p w:rsidR="00DF7F1E" w:rsidRPr="00A1135B" w:rsidRDefault="00DF7F1E" w:rsidP="00DF7F1E">
      <w:pPr>
        <w:spacing w:line="276" w:lineRule="auto"/>
        <w:rPr>
          <w:color w:val="0D0D0D"/>
          <w:lang w:val="en" w:eastAsia="en-AU"/>
        </w:rPr>
      </w:pPr>
      <w:r w:rsidRPr="00A1135B">
        <w:rPr>
          <w:color w:val="0D0D0D"/>
          <w:lang w:val="en" w:eastAsia="en-AU"/>
        </w:rPr>
        <w:t>PERTH, WA 6838</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t>In accordance with s.13 of the FOI Act an acknowledgement letter will be forwarded to the applicant notifying them of the 45 day deadl</w:t>
      </w:r>
      <w:r>
        <w:rPr>
          <w:color w:val="0D0D0D"/>
          <w:lang w:val="en" w:eastAsia="en-AU"/>
        </w:rPr>
        <w:t>ine in which their application will</w:t>
      </w:r>
      <w:r w:rsidRPr="00A1135B">
        <w:rPr>
          <w:color w:val="0D0D0D"/>
          <w:lang w:val="en" w:eastAsia="en-AU"/>
        </w:rPr>
        <w:t xml:space="preserve"> be processed.</w:t>
      </w:r>
    </w:p>
    <w:p w:rsidR="00DF7F1E"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p>
    <w:p w:rsidR="00DF7F1E" w:rsidRPr="00A1135B" w:rsidRDefault="00DF7F1E" w:rsidP="006C7EF6">
      <w:pPr>
        <w:autoSpaceDE w:val="0"/>
        <w:autoSpaceDN w:val="0"/>
        <w:spacing w:line="276" w:lineRule="auto"/>
        <w:rPr>
          <w:color w:val="0D0D0D"/>
          <w:lang w:val="en" w:eastAsia="en-AU"/>
        </w:rPr>
      </w:pPr>
      <w:r w:rsidRPr="006C7EF6">
        <w:rPr>
          <w:b/>
          <w:bCs/>
          <w:color w:val="044C75"/>
        </w:rPr>
        <w:lastRenderedPageBreak/>
        <w:t>Fees and charges</w:t>
      </w:r>
    </w:p>
    <w:p w:rsidR="00DF7F1E" w:rsidRPr="00A1135B" w:rsidRDefault="00DF7F1E" w:rsidP="00DF7F1E">
      <w:pPr>
        <w:spacing w:line="276" w:lineRule="auto"/>
        <w:rPr>
          <w:color w:val="0D0D0D"/>
          <w:lang w:val="en" w:eastAsia="en-AU"/>
        </w:rPr>
      </w:pPr>
      <w:r w:rsidRPr="00A1135B">
        <w:rPr>
          <w:color w:val="0D0D0D"/>
          <w:lang w:val="en" w:eastAsia="en-AU"/>
        </w:rPr>
        <w:t xml:space="preserve">In accordance with </w:t>
      </w:r>
      <w:proofErr w:type="gramStart"/>
      <w:r w:rsidRPr="00A1135B">
        <w:rPr>
          <w:color w:val="0D0D0D"/>
          <w:lang w:val="en" w:eastAsia="en-AU"/>
        </w:rPr>
        <w:t>s.16(</w:t>
      </w:r>
      <w:proofErr w:type="gramEnd"/>
      <w:r w:rsidRPr="00A1135B">
        <w:rPr>
          <w:color w:val="0D0D0D"/>
          <w:lang w:val="en" w:eastAsia="en-AU"/>
        </w:rPr>
        <w:t xml:space="preserve">1)(d) of the FOI Act, no fee or charge is payable for access to, or amendment of personal information. However, under </w:t>
      </w:r>
      <w:proofErr w:type="gramStart"/>
      <w:r w:rsidRPr="00A1135B">
        <w:rPr>
          <w:color w:val="0D0D0D"/>
          <w:lang w:val="en" w:eastAsia="en-AU"/>
        </w:rPr>
        <w:t>s.12(</w:t>
      </w:r>
      <w:proofErr w:type="gramEnd"/>
      <w:r w:rsidRPr="00A1135B">
        <w:rPr>
          <w:color w:val="0D0D0D"/>
          <w:lang w:val="en" w:eastAsia="en-AU"/>
        </w:rPr>
        <w:t>1)(e) a fee is payable for FOI applications which request access to non-personal information.</w:t>
      </w:r>
    </w:p>
    <w:p w:rsidR="00DF7F1E" w:rsidRPr="00A1135B" w:rsidRDefault="00DF7F1E" w:rsidP="00DF7F1E">
      <w:pPr>
        <w:spacing w:line="276" w:lineRule="auto"/>
        <w:rPr>
          <w:color w:val="0D0D0D"/>
          <w:lang w:val="en" w:eastAsia="en-AU"/>
        </w:rPr>
      </w:pPr>
    </w:p>
    <w:p w:rsidR="00DF7F1E" w:rsidRDefault="00DF7F1E" w:rsidP="00DF7F1E">
      <w:pPr>
        <w:spacing w:line="276" w:lineRule="auto"/>
        <w:rPr>
          <w:color w:val="0D0D0D"/>
          <w:lang w:val="en" w:eastAsia="en-AU"/>
        </w:rPr>
      </w:pPr>
      <w:r w:rsidRPr="00A1135B">
        <w:rPr>
          <w:color w:val="0D0D0D"/>
          <w:lang w:val="en" w:eastAsia="en-AU"/>
        </w:rPr>
        <w:t>The following table details the fees and charge</w:t>
      </w:r>
      <w:r>
        <w:rPr>
          <w:color w:val="0D0D0D"/>
          <w:lang w:val="en" w:eastAsia="en-AU"/>
        </w:rPr>
        <w:t>s applicable under the FOI Act.</w:t>
      </w:r>
    </w:p>
    <w:p w:rsidR="00DF7F1E" w:rsidRPr="00A1135B" w:rsidRDefault="00DF7F1E" w:rsidP="00DF7F1E">
      <w:pPr>
        <w:rPr>
          <w:color w:val="0D0D0D"/>
          <w:lang w:val="en" w:eastAsia="en-AU"/>
        </w:rPr>
      </w:pPr>
    </w:p>
    <w:tbl>
      <w:tblPr>
        <w:tblW w:w="49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638"/>
        <w:gridCol w:w="3541"/>
      </w:tblGrid>
      <w:tr w:rsidR="00DF7F1E" w:rsidRPr="009031C4" w:rsidTr="009D7F10">
        <w:trPr>
          <w:trHeight w:val="567"/>
        </w:trPr>
        <w:tc>
          <w:tcPr>
            <w:tcW w:w="3071" w:type="pct"/>
            <w:shd w:val="clear" w:color="auto" w:fill="04425E"/>
            <w:vAlign w:val="center"/>
            <w:hideMark/>
          </w:tcPr>
          <w:p w:rsidR="00DF7F1E" w:rsidRPr="009031C4" w:rsidRDefault="00DF7F1E" w:rsidP="00721265">
            <w:pPr>
              <w:spacing w:line="276" w:lineRule="auto"/>
              <w:rPr>
                <w:rFonts w:eastAsia="Calibri"/>
                <w:b/>
                <w:bCs/>
                <w:iCs/>
                <w:color w:val="FFFFFF" w:themeColor="background1"/>
                <w:lang w:eastAsia="en-AU"/>
              </w:rPr>
            </w:pPr>
            <w:r w:rsidRPr="009031C4">
              <w:rPr>
                <w:rFonts w:eastAsia="Calibri"/>
                <w:b/>
                <w:bCs/>
                <w:iCs/>
                <w:color w:val="FFFFFF" w:themeColor="background1"/>
                <w:lang w:eastAsia="en-AU"/>
              </w:rPr>
              <w:t>Charge Description</w:t>
            </w:r>
          </w:p>
        </w:tc>
        <w:tc>
          <w:tcPr>
            <w:tcW w:w="1929" w:type="pct"/>
            <w:shd w:val="clear" w:color="auto" w:fill="04425E"/>
            <w:vAlign w:val="center"/>
            <w:hideMark/>
          </w:tcPr>
          <w:p w:rsidR="00DF7F1E" w:rsidRPr="009031C4" w:rsidRDefault="00DF7F1E" w:rsidP="00721265">
            <w:pPr>
              <w:spacing w:line="276" w:lineRule="auto"/>
              <w:rPr>
                <w:rFonts w:eastAsia="Calibri"/>
                <w:b/>
                <w:bCs/>
                <w:iCs/>
                <w:color w:val="FFFFFF" w:themeColor="background1"/>
                <w:lang w:eastAsia="en-AU"/>
              </w:rPr>
            </w:pPr>
            <w:r w:rsidRPr="009031C4">
              <w:rPr>
                <w:rFonts w:eastAsia="Calibri"/>
                <w:b/>
                <w:bCs/>
                <w:iCs/>
                <w:color w:val="FFFFFF" w:themeColor="background1"/>
                <w:lang w:eastAsia="en-AU"/>
              </w:rPr>
              <w:t>Fee Payable</w:t>
            </w:r>
          </w:p>
        </w:tc>
      </w:tr>
      <w:tr w:rsidR="00DF7F1E" w:rsidRPr="00A1135B" w:rsidTr="009D7F10">
        <w:trPr>
          <w:trHeight w:val="567"/>
        </w:trPr>
        <w:tc>
          <w:tcPr>
            <w:tcW w:w="3071" w:type="pct"/>
            <w:shd w:val="clear" w:color="auto" w:fill="auto"/>
            <w:vAlign w:val="center"/>
            <w:hideMark/>
          </w:tcPr>
          <w:p w:rsidR="00DF7F1E" w:rsidRPr="009031C4" w:rsidRDefault="00DF7F1E" w:rsidP="00721265">
            <w:pPr>
              <w:spacing w:line="276" w:lineRule="auto"/>
              <w:rPr>
                <w:rFonts w:eastAsia="Calibri"/>
                <w:b/>
                <w:bCs/>
                <w:color w:val="0D0D0D"/>
                <w:lang w:eastAsia="en-AU"/>
              </w:rPr>
            </w:pPr>
            <w:r w:rsidRPr="009031C4">
              <w:rPr>
                <w:rFonts w:eastAsia="Calibri"/>
                <w:b/>
                <w:bCs/>
                <w:color w:val="0D0D0D"/>
                <w:lang w:eastAsia="en-AU"/>
              </w:rPr>
              <w:t xml:space="preserve">Application fee </w:t>
            </w:r>
          </w:p>
        </w:tc>
        <w:tc>
          <w:tcPr>
            <w:tcW w:w="1929" w:type="pct"/>
            <w:shd w:val="clear" w:color="auto" w:fill="auto"/>
            <w:vAlign w:val="center"/>
            <w:hideMark/>
          </w:tcPr>
          <w:p w:rsidR="00DF7F1E" w:rsidRPr="009031C4" w:rsidRDefault="00DF7F1E" w:rsidP="00721265">
            <w:pPr>
              <w:spacing w:line="276" w:lineRule="auto"/>
              <w:jc w:val="right"/>
              <w:rPr>
                <w:rFonts w:eastAsia="Calibri"/>
                <w:color w:val="0D0D0D"/>
                <w:lang w:eastAsia="en-AU"/>
              </w:rPr>
            </w:pPr>
            <w:r w:rsidRPr="009031C4">
              <w:rPr>
                <w:rFonts w:eastAsia="Calibri"/>
                <w:color w:val="0D0D0D"/>
                <w:lang w:eastAsia="en-AU"/>
              </w:rPr>
              <w:t>$30.00</w:t>
            </w:r>
          </w:p>
        </w:tc>
      </w:tr>
      <w:tr w:rsidR="00DF7F1E" w:rsidRPr="00A1135B" w:rsidTr="009D7F10">
        <w:trPr>
          <w:trHeight w:val="567"/>
        </w:trPr>
        <w:tc>
          <w:tcPr>
            <w:tcW w:w="3071" w:type="pct"/>
            <w:shd w:val="clear" w:color="auto" w:fill="auto"/>
            <w:vAlign w:val="center"/>
            <w:hideMark/>
          </w:tcPr>
          <w:p w:rsidR="00DF7F1E" w:rsidRPr="009031C4" w:rsidRDefault="00DF7F1E" w:rsidP="00721265">
            <w:pPr>
              <w:spacing w:line="276" w:lineRule="auto"/>
              <w:rPr>
                <w:rFonts w:eastAsia="Calibri"/>
                <w:b/>
                <w:bCs/>
                <w:color w:val="0D0D0D"/>
                <w:lang w:eastAsia="en-AU"/>
              </w:rPr>
            </w:pPr>
            <w:r w:rsidRPr="009031C4">
              <w:rPr>
                <w:rFonts w:eastAsia="Calibri"/>
                <w:b/>
                <w:bCs/>
                <w:color w:val="0D0D0D"/>
                <w:lang w:eastAsia="en-AU"/>
              </w:rPr>
              <w:t>Time taken dealing with the application </w:t>
            </w:r>
          </w:p>
        </w:tc>
        <w:tc>
          <w:tcPr>
            <w:tcW w:w="1929" w:type="pct"/>
            <w:shd w:val="clear" w:color="auto" w:fill="auto"/>
            <w:vAlign w:val="center"/>
            <w:hideMark/>
          </w:tcPr>
          <w:p w:rsidR="00DF7F1E" w:rsidRPr="009031C4" w:rsidRDefault="00DF7F1E" w:rsidP="00721265">
            <w:pPr>
              <w:spacing w:line="276" w:lineRule="auto"/>
              <w:jc w:val="right"/>
              <w:rPr>
                <w:rFonts w:eastAsia="Calibri"/>
                <w:color w:val="0D0D0D"/>
                <w:lang w:eastAsia="en-AU"/>
              </w:rPr>
            </w:pPr>
            <w:r w:rsidRPr="009031C4">
              <w:rPr>
                <w:rFonts w:eastAsia="Calibri"/>
                <w:color w:val="0D0D0D"/>
                <w:lang w:eastAsia="en-AU"/>
              </w:rPr>
              <w:t>$30.00 per hour</w:t>
            </w:r>
          </w:p>
        </w:tc>
      </w:tr>
      <w:tr w:rsidR="00DF7F1E" w:rsidRPr="00A1135B" w:rsidTr="009D7F10">
        <w:trPr>
          <w:trHeight w:val="567"/>
        </w:trPr>
        <w:tc>
          <w:tcPr>
            <w:tcW w:w="3071" w:type="pct"/>
            <w:shd w:val="clear" w:color="auto" w:fill="auto"/>
            <w:vAlign w:val="center"/>
            <w:hideMark/>
          </w:tcPr>
          <w:p w:rsidR="00DF7F1E" w:rsidRPr="009031C4" w:rsidRDefault="00DF7F1E" w:rsidP="00721265">
            <w:pPr>
              <w:spacing w:line="276" w:lineRule="auto"/>
              <w:rPr>
                <w:rFonts w:eastAsia="Calibri"/>
                <w:b/>
                <w:bCs/>
                <w:color w:val="0D0D0D"/>
                <w:lang w:eastAsia="en-AU"/>
              </w:rPr>
            </w:pPr>
            <w:r w:rsidRPr="009031C4">
              <w:rPr>
                <w:rFonts w:eastAsia="Calibri"/>
                <w:b/>
                <w:bCs/>
                <w:color w:val="0D0D0D"/>
                <w:lang w:eastAsia="en-AU"/>
              </w:rPr>
              <w:t>Access time supervised by staff </w:t>
            </w:r>
          </w:p>
        </w:tc>
        <w:tc>
          <w:tcPr>
            <w:tcW w:w="1929" w:type="pct"/>
            <w:shd w:val="clear" w:color="auto" w:fill="auto"/>
            <w:vAlign w:val="center"/>
            <w:hideMark/>
          </w:tcPr>
          <w:p w:rsidR="00DF7F1E" w:rsidRPr="009031C4" w:rsidRDefault="00DF7F1E" w:rsidP="00721265">
            <w:pPr>
              <w:spacing w:line="276" w:lineRule="auto"/>
              <w:jc w:val="right"/>
              <w:rPr>
                <w:rFonts w:eastAsia="Calibri"/>
                <w:color w:val="0D0D0D"/>
                <w:lang w:eastAsia="en-AU"/>
              </w:rPr>
            </w:pPr>
            <w:r w:rsidRPr="009031C4">
              <w:rPr>
                <w:rFonts w:eastAsia="Calibri"/>
                <w:color w:val="0D0D0D"/>
                <w:lang w:eastAsia="en-AU"/>
              </w:rPr>
              <w:t>$30.00 per hour</w:t>
            </w:r>
          </w:p>
        </w:tc>
      </w:tr>
      <w:tr w:rsidR="00DF7F1E" w:rsidRPr="00A1135B" w:rsidTr="009D7F10">
        <w:trPr>
          <w:trHeight w:val="567"/>
        </w:trPr>
        <w:tc>
          <w:tcPr>
            <w:tcW w:w="3071" w:type="pct"/>
            <w:shd w:val="clear" w:color="auto" w:fill="auto"/>
            <w:vAlign w:val="center"/>
            <w:hideMark/>
          </w:tcPr>
          <w:p w:rsidR="00DF7F1E" w:rsidRPr="009031C4" w:rsidRDefault="00DF7F1E" w:rsidP="00721265">
            <w:pPr>
              <w:spacing w:line="276" w:lineRule="auto"/>
              <w:rPr>
                <w:rFonts w:eastAsia="Calibri"/>
                <w:b/>
                <w:bCs/>
                <w:color w:val="0D0D0D"/>
                <w:lang w:eastAsia="en-AU"/>
              </w:rPr>
            </w:pPr>
            <w:r w:rsidRPr="009031C4">
              <w:rPr>
                <w:rFonts w:eastAsia="Calibri"/>
                <w:b/>
                <w:bCs/>
                <w:color w:val="0D0D0D"/>
                <w:lang w:eastAsia="en-AU"/>
              </w:rPr>
              <w:t>Photocopying relevant documents </w:t>
            </w:r>
          </w:p>
        </w:tc>
        <w:tc>
          <w:tcPr>
            <w:tcW w:w="1929" w:type="pct"/>
            <w:shd w:val="clear" w:color="auto" w:fill="auto"/>
            <w:vAlign w:val="center"/>
            <w:hideMark/>
          </w:tcPr>
          <w:p w:rsidR="00DF7F1E" w:rsidRPr="009031C4" w:rsidRDefault="00DF7F1E" w:rsidP="00721265">
            <w:pPr>
              <w:spacing w:line="276" w:lineRule="auto"/>
              <w:jc w:val="right"/>
              <w:rPr>
                <w:rFonts w:eastAsia="Calibri"/>
                <w:color w:val="0D0D0D"/>
                <w:lang w:eastAsia="en-AU"/>
              </w:rPr>
            </w:pPr>
            <w:r w:rsidRPr="009031C4">
              <w:rPr>
                <w:rFonts w:eastAsia="Calibri"/>
                <w:color w:val="0D0D0D"/>
                <w:lang w:eastAsia="en-AU"/>
              </w:rPr>
              <w:t>$30.00 per hour for staff time, plus 20c per copy</w:t>
            </w:r>
          </w:p>
        </w:tc>
      </w:tr>
      <w:tr w:rsidR="00DF7F1E" w:rsidRPr="00A1135B" w:rsidTr="009D7F10">
        <w:trPr>
          <w:trHeight w:val="567"/>
        </w:trPr>
        <w:tc>
          <w:tcPr>
            <w:tcW w:w="3071" w:type="pct"/>
            <w:shd w:val="clear" w:color="auto" w:fill="auto"/>
            <w:vAlign w:val="center"/>
            <w:hideMark/>
          </w:tcPr>
          <w:p w:rsidR="00DF7F1E" w:rsidRPr="009031C4" w:rsidRDefault="00DF7F1E" w:rsidP="00721265">
            <w:pPr>
              <w:spacing w:line="276" w:lineRule="auto"/>
              <w:rPr>
                <w:rFonts w:eastAsia="Calibri"/>
                <w:b/>
                <w:bCs/>
                <w:color w:val="0D0D0D"/>
                <w:lang w:eastAsia="en-AU"/>
              </w:rPr>
            </w:pPr>
            <w:r w:rsidRPr="009031C4">
              <w:rPr>
                <w:rFonts w:eastAsia="Calibri"/>
                <w:b/>
                <w:bCs/>
                <w:color w:val="0D0D0D"/>
                <w:lang w:eastAsia="en-AU"/>
              </w:rPr>
              <w:t>Staff time in transcribing information from a tape or other device</w:t>
            </w:r>
          </w:p>
        </w:tc>
        <w:tc>
          <w:tcPr>
            <w:tcW w:w="1929" w:type="pct"/>
            <w:shd w:val="clear" w:color="auto" w:fill="auto"/>
            <w:vAlign w:val="center"/>
            <w:hideMark/>
          </w:tcPr>
          <w:p w:rsidR="00DF7F1E" w:rsidRPr="009031C4" w:rsidRDefault="00DF7F1E" w:rsidP="00721265">
            <w:pPr>
              <w:spacing w:line="276" w:lineRule="auto"/>
              <w:jc w:val="right"/>
              <w:rPr>
                <w:rFonts w:eastAsia="Calibri"/>
                <w:color w:val="0D0D0D"/>
                <w:lang w:eastAsia="en-AU"/>
              </w:rPr>
            </w:pPr>
            <w:r w:rsidRPr="009031C4">
              <w:rPr>
                <w:rFonts w:eastAsia="Calibri"/>
                <w:color w:val="0D0D0D"/>
                <w:lang w:eastAsia="en-AU"/>
              </w:rPr>
              <w:t>$30.00 per hour</w:t>
            </w:r>
          </w:p>
        </w:tc>
      </w:tr>
      <w:tr w:rsidR="00DF7F1E" w:rsidRPr="00A1135B" w:rsidTr="009D7F10">
        <w:trPr>
          <w:trHeight w:val="567"/>
        </w:trPr>
        <w:tc>
          <w:tcPr>
            <w:tcW w:w="3071" w:type="pct"/>
            <w:shd w:val="clear" w:color="auto" w:fill="auto"/>
            <w:vAlign w:val="center"/>
            <w:hideMark/>
          </w:tcPr>
          <w:p w:rsidR="00DF7F1E" w:rsidRPr="009031C4" w:rsidRDefault="00DF7F1E" w:rsidP="00721265">
            <w:pPr>
              <w:spacing w:line="276" w:lineRule="auto"/>
              <w:rPr>
                <w:rFonts w:eastAsia="Calibri"/>
                <w:b/>
                <w:bCs/>
                <w:color w:val="0D0D0D"/>
                <w:lang w:eastAsia="en-AU"/>
              </w:rPr>
            </w:pPr>
            <w:r w:rsidRPr="009031C4">
              <w:rPr>
                <w:rFonts w:eastAsia="Calibri"/>
                <w:b/>
                <w:bCs/>
                <w:color w:val="0D0D0D"/>
                <w:lang w:eastAsia="en-AU"/>
              </w:rPr>
              <w:t>Duplicating a tape, film or computer information</w:t>
            </w:r>
          </w:p>
        </w:tc>
        <w:tc>
          <w:tcPr>
            <w:tcW w:w="1929" w:type="pct"/>
            <w:shd w:val="clear" w:color="auto" w:fill="auto"/>
            <w:vAlign w:val="center"/>
            <w:hideMark/>
          </w:tcPr>
          <w:p w:rsidR="00DF7F1E" w:rsidRPr="009031C4" w:rsidRDefault="00DF7F1E" w:rsidP="00721265">
            <w:pPr>
              <w:spacing w:line="276" w:lineRule="auto"/>
              <w:jc w:val="right"/>
              <w:rPr>
                <w:rFonts w:eastAsia="Calibri"/>
                <w:color w:val="0D0D0D"/>
                <w:lang w:eastAsia="en-AU"/>
              </w:rPr>
            </w:pPr>
            <w:r w:rsidRPr="009031C4">
              <w:rPr>
                <w:rFonts w:eastAsia="Calibri"/>
                <w:color w:val="0D0D0D"/>
                <w:lang w:eastAsia="en-AU"/>
              </w:rPr>
              <w:t>Actual cost</w:t>
            </w:r>
          </w:p>
        </w:tc>
      </w:tr>
      <w:tr w:rsidR="00DF7F1E" w:rsidRPr="00A1135B" w:rsidTr="009D7F10">
        <w:trPr>
          <w:trHeight w:val="567"/>
        </w:trPr>
        <w:tc>
          <w:tcPr>
            <w:tcW w:w="3071" w:type="pct"/>
            <w:shd w:val="clear" w:color="auto" w:fill="auto"/>
            <w:vAlign w:val="center"/>
            <w:hideMark/>
          </w:tcPr>
          <w:p w:rsidR="00DF7F1E" w:rsidRPr="009031C4" w:rsidRDefault="00DF7F1E" w:rsidP="00721265">
            <w:pPr>
              <w:spacing w:line="276" w:lineRule="auto"/>
              <w:rPr>
                <w:rFonts w:eastAsia="Calibri"/>
                <w:b/>
                <w:bCs/>
                <w:color w:val="0D0D0D"/>
                <w:lang w:eastAsia="en-AU"/>
              </w:rPr>
            </w:pPr>
            <w:r w:rsidRPr="009031C4">
              <w:rPr>
                <w:rFonts w:eastAsia="Calibri"/>
                <w:b/>
                <w:bCs/>
                <w:color w:val="0D0D0D"/>
                <w:lang w:eastAsia="en-AU"/>
              </w:rPr>
              <w:t>Delivery, packaging and postage</w:t>
            </w:r>
          </w:p>
        </w:tc>
        <w:tc>
          <w:tcPr>
            <w:tcW w:w="1929" w:type="pct"/>
            <w:shd w:val="clear" w:color="auto" w:fill="auto"/>
            <w:vAlign w:val="center"/>
            <w:hideMark/>
          </w:tcPr>
          <w:p w:rsidR="00DF7F1E" w:rsidRPr="009031C4" w:rsidRDefault="00DF7F1E" w:rsidP="00721265">
            <w:pPr>
              <w:spacing w:line="276" w:lineRule="auto"/>
              <w:jc w:val="right"/>
              <w:rPr>
                <w:rFonts w:eastAsia="Calibri"/>
                <w:color w:val="0D0D0D"/>
                <w:lang w:eastAsia="en-AU"/>
              </w:rPr>
            </w:pPr>
            <w:r w:rsidRPr="009031C4">
              <w:rPr>
                <w:rFonts w:eastAsia="Calibri"/>
                <w:color w:val="0D0D0D"/>
                <w:lang w:eastAsia="en-AU"/>
              </w:rPr>
              <w:t>Actual cost</w:t>
            </w:r>
          </w:p>
        </w:tc>
      </w:tr>
    </w:tbl>
    <w:p w:rsidR="00DF7F1E" w:rsidRDefault="00DF7F1E" w:rsidP="00DF7F1E">
      <w:pPr>
        <w:keepNext/>
        <w:outlineLvl w:val="2"/>
        <w:rPr>
          <w:b/>
          <w:bCs/>
          <w:color w:val="0D0D0D"/>
          <w:lang w:val="en" w:eastAsia="en-AU"/>
        </w:rPr>
      </w:pPr>
    </w:p>
    <w:p w:rsidR="00DF7F1E" w:rsidRPr="00A1135B" w:rsidRDefault="00DF7F1E" w:rsidP="00DF7F1E">
      <w:pPr>
        <w:keepNext/>
        <w:spacing w:line="276" w:lineRule="auto"/>
        <w:outlineLvl w:val="2"/>
        <w:rPr>
          <w:b/>
          <w:bCs/>
          <w:color w:val="0D0D0D"/>
          <w:lang w:val="en" w:eastAsia="en-AU"/>
        </w:rPr>
      </w:pPr>
      <w:bookmarkStart w:id="8" w:name="_Toc459212111"/>
      <w:r w:rsidRPr="00A1135B">
        <w:rPr>
          <w:b/>
          <w:bCs/>
          <w:color w:val="0D0D0D"/>
          <w:lang w:val="en" w:eastAsia="en-AU"/>
        </w:rPr>
        <w:t>Processing FOI applications</w:t>
      </w:r>
      <w:bookmarkEnd w:id="8"/>
    </w:p>
    <w:p w:rsidR="00DF7F1E" w:rsidRPr="00A1135B" w:rsidRDefault="00DF7F1E" w:rsidP="00DF7F1E">
      <w:pPr>
        <w:spacing w:line="276" w:lineRule="auto"/>
        <w:rPr>
          <w:color w:val="0D0D0D"/>
          <w:lang w:val="en" w:eastAsia="en-AU"/>
        </w:rPr>
      </w:pPr>
      <w:r w:rsidRPr="00A1135B">
        <w:rPr>
          <w:color w:val="0D0D0D"/>
          <w:lang w:val="en" w:eastAsia="en-AU"/>
        </w:rPr>
        <w:t xml:space="preserve">The FOI Coordinator is responsible for the management of all requests received and liaises with </w:t>
      </w:r>
      <w:r>
        <w:rPr>
          <w:color w:val="0D0D0D"/>
          <w:lang w:val="en" w:eastAsia="en-AU"/>
        </w:rPr>
        <w:t xml:space="preserve">the applicant and </w:t>
      </w:r>
      <w:r w:rsidRPr="00A1135B">
        <w:rPr>
          <w:color w:val="0D0D0D"/>
          <w:lang w:val="en" w:eastAsia="en-AU"/>
        </w:rPr>
        <w:t>stakeholders to process the application in accordance with the FOI Act.</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t>When a decision has been made, the applicant will receive a Notice of Decision which outlines the rationale for the decision in accordance with s.30 of the FOI Act. The Notice of Decision will advise the manner in which access has been provided. The levels of access are:</w:t>
      </w:r>
    </w:p>
    <w:p w:rsidR="00DF7F1E" w:rsidRPr="00A1135B" w:rsidRDefault="00DF7F1E" w:rsidP="00DF7F1E">
      <w:pPr>
        <w:spacing w:line="276" w:lineRule="auto"/>
        <w:rPr>
          <w:color w:val="0D0D0D"/>
          <w:lang w:val="en" w:eastAsia="en-AU"/>
        </w:rPr>
      </w:pPr>
    </w:p>
    <w:p w:rsidR="00DF7F1E" w:rsidRPr="00A1135B" w:rsidRDefault="00DF7F1E" w:rsidP="00DF7F1E">
      <w:pPr>
        <w:numPr>
          <w:ilvl w:val="0"/>
          <w:numId w:val="6"/>
        </w:numPr>
        <w:spacing w:line="276" w:lineRule="auto"/>
        <w:contextualSpacing/>
        <w:outlineLvl w:val="0"/>
        <w:rPr>
          <w:bCs/>
          <w:color w:val="0D0D0D"/>
          <w:kern w:val="36"/>
          <w:lang w:val="en" w:eastAsia="en-AU"/>
        </w:rPr>
      </w:pPr>
      <w:bookmarkStart w:id="9" w:name="_Toc459212112"/>
      <w:r w:rsidRPr="00A1135B">
        <w:rPr>
          <w:bCs/>
          <w:color w:val="0D0D0D"/>
          <w:kern w:val="36"/>
          <w:lang w:val="en" w:eastAsia="en-AU"/>
        </w:rPr>
        <w:t>Full access</w:t>
      </w:r>
      <w:bookmarkEnd w:id="9"/>
    </w:p>
    <w:p w:rsidR="00DF7F1E" w:rsidRPr="00A1135B" w:rsidRDefault="00DF7F1E" w:rsidP="00DF7F1E">
      <w:pPr>
        <w:numPr>
          <w:ilvl w:val="0"/>
          <w:numId w:val="6"/>
        </w:numPr>
        <w:spacing w:line="276" w:lineRule="auto"/>
        <w:contextualSpacing/>
        <w:outlineLvl w:val="0"/>
        <w:rPr>
          <w:bCs/>
          <w:color w:val="0D0D0D"/>
          <w:kern w:val="36"/>
          <w:lang w:val="en" w:eastAsia="en-AU"/>
        </w:rPr>
      </w:pPr>
      <w:bookmarkStart w:id="10" w:name="_Toc459212113"/>
      <w:r w:rsidRPr="00A1135B">
        <w:rPr>
          <w:bCs/>
          <w:color w:val="0D0D0D"/>
          <w:kern w:val="36"/>
          <w:lang w:val="en" w:eastAsia="en-AU"/>
        </w:rPr>
        <w:t>Partial access (edited format)</w:t>
      </w:r>
      <w:bookmarkEnd w:id="10"/>
    </w:p>
    <w:p w:rsidR="00DF7F1E" w:rsidRPr="00A1135B" w:rsidRDefault="00DF7F1E" w:rsidP="00DF7F1E">
      <w:pPr>
        <w:numPr>
          <w:ilvl w:val="0"/>
          <w:numId w:val="6"/>
        </w:numPr>
        <w:spacing w:line="276" w:lineRule="auto"/>
        <w:contextualSpacing/>
        <w:outlineLvl w:val="0"/>
        <w:rPr>
          <w:bCs/>
          <w:color w:val="0D0D0D"/>
          <w:kern w:val="36"/>
          <w:lang w:val="en" w:eastAsia="en-AU"/>
        </w:rPr>
      </w:pPr>
      <w:bookmarkStart w:id="11" w:name="_Toc459212114"/>
      <w:r w:rsidRPr="00A1135B">
        <w:rPr>
          <w:bCs/>
          <w:color w:val="0D0D0D"/>
          <w:kern w:val="36"/>
          <w:lang w:val="en" w:eastAsia="en-AU"/>
        </w:rPr>
        <w:t>Refused access</w:t>
      </w:r>
      <w:bookmarkEnd w:id="11"/>
      <w:r w:rsidRPr="00A1135B">
        <w:rPr>
          <w:bCs/>
          <w:color w:val="0D0D0D"/>
          <w:kern w:val="36"/>
          <w:lang w:val="en" w:eastAsia="en-AU"/>
        </w:rPr>
        <w:t xml:space="preserve"> </w:t>
      </w:r>
    </w:p>
    <w:p w:rsidR="00DF7F1E" w:rsidRPr="00A1135B" w:rsidRDefault="00DF7F1E" w:rsidP="00DF7F1E">
      <w:pPr>
        <w:spacing w:after="200" w:line="276" w:lineRule="auto"/>
        <w:rPr>
          <w:color w:val="0D0D0D"/>
          <w:lang w:val="en" w:eastAsia="en-AU"/>
        </w:rPr>
      </w:pPr>
    </w:p>
    <w:p w:rsidR="00DF7F1E" w:rsidRPr="00A1135B" w:rsidRDefault="00DF7F1E" w:rsidP="006C7EF6">
      <w:pPr>
        <w:autoSpaceDE w:val="0"/>
        <w:autoSpaceDN w:val="0"/>
        <w:spacing w:line="276" w:lineRule="auto"/>
        <w:rPr>
          <w:b/>
          <w:bCs/>
          <w:color w:val="0D0D0D"/>
          <w:lang w:val="en" w:eastAsia="en-AU"/>
        </w:rPr>
      </w:pPr>
      <w:bookmarkStart w:id="12" w:name="_Toc459212115"/>
      <w:r w:rsidRPr="006C7EF6">
        <w:rPr>
          <w:b/>
          <w:bCs/>
          <w:color w:val="044C75"/>
        </w:rPr>
        <w:t>Decision review</w:t>
      </w:r>
      <w:bookmarkEnd w:id="12"/>
    </w:p>
    <w:p w:rsidR="00DF7F1E" w:rsidRPr="00A1135B" w:rsidRDefault="00DF7F1E" w:rsidP="00DF7F1E">
      <w:pPr>
        <w:spacing w:line="276" w:lineRule="auto"/>
        <w:rPr>
          <w:color w:val="0D0D0D"/>
          <w:lang w:val="en" w:eastAsia="en-AU"/>
        </w:rPr>
      </w:pPr>
      <w:r w:rsidRPr="00A1135B">
        <w:rPr>
          <w:color w:val="0D0D0D"/>
          <w:lang w:val="en" w:eastAsia="en-AU"/>
        </w:rPr>
        <w:t xml:space="preserve">If the applicant is dissatisfied with a FOI decision made, an application for an internal review of the decision may be made. Internal review applications should be made in writing within 30 calendar days of receiving the Notice of Decision. </w:t>
      </w:r>
      <w:proofErr w:type="spellStart"/>
      <w:r w:rsidRPr="00A1135B">
        <w:rPr>
          <w:color w:val="0D0D0D"/>
          <w:lang w:val="en" w:eastAsia="en-AU"/>
        </w:rPr>
        <w:t>HaDSCO</w:t>
      </w:r>
      <w:proofErr w:type="spellEnd"/>
      <w:r w:rsidRPr="00A1135B">
        <w:rPr>
          <w:color w:val="0D0D0D"/>
          <w:lang w:val="en" w:eastAsia="en-AU"/>
        </w:rPr>
        <w:t xml:space="preserve"> will respond within 15 days of receiving the </w:t>
      </w:r>
      <w:r>
        <w:rPr>
          <w:color w:val="0D0D0D"/>
          <w:lang w:val="en" w:eastAsia="en-AU"/>
        </w:rPr>
        <w:t>i</w:t>
      </w:r>
      <w:r w:rsidRPr="00A1135B">
        <w:rPr>
          <w:color w:val="0D0D0D"/>
          <w:lang w:val="en" w:eastAsia="en-AU"/>
        </w:rPr>
        <w:t xml:space="preserve">nternal </w:t>
      </w:r>
      <w:r>
        <w:rPr>
          <w:color w:val="0D0D0D"/>
          <w:lang w:val="en" w:eastAsia="en-AU"/>
        </w:rPr>
        <w:t>r</w:t>
      </w:r>
      <w:r w:rsidRPr="00A1135B">
        <w:rPr>
          <w:color w:val="0D0D0D"/>
          <w:lang w:val="en" w:eastAsia="en-AU"/>
        </w:rPr>
        <w:t>eview request.</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lastRenderedPageBreak/>
        <w:t>If the applicant is still not satisfied after the internal review is completed, a written complaint may be lodged to the Information Commissioner for an external review. In certain instances, questions of law that arise in the course of dealing with an FOI complaint may be referred to the Supreme Court.</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t>Please note that no fees or charges are applicable for internal or external reviews.</w:t>
      </w:r>
      <w:r>
        <w:rPr>
          <w:color w:val="0D0D0D"/>
          <w:lang w:val="en" w:eastAsia="en-AU"/>
        </w:rPr>
        <w:br/>
      </w:r>
    </w:p>
    <w:p w:rsidR="00DF7F1E" w:rsidRPr="00A1135B" w:rsidRDefault="00DF7F1E" w:rsidP="006C7EF6">
      <w:pPr>
        <w:autoSpaceDE w:val="0"/>
        <w:autoSpaceDN w:val="0"/>
        <w:spacing w:line="276" w:lineRule="auto"/>
        <w:rPr>
          <w:b/>
          <w:bCs/>
          <w:color w:val="0D0D0D"/>
          <w:lang w:val="en" w:eastAsia="en-AU"/>
        </w:rPr>
      </w:pPr>
      <w:bookmarkStart w:id="13" w:name="_Toc459212116"/>
      <w:r w:rsidRPr="006C7EF6">
        <w:rPr>
          <w:b/>
          <w:bCs/>
          <w:color w:val="044C75"/>
        </w:rPr>
        <w:t>Documents held by the Office</w:t>
      </w:r>
      <w:bookmarkEnd w:id="13"/>
    </w:p>
    <w:p w:rsidR="00DF7F1E" w:rsidRPr="00A1135B" w:rsidRDefault="00DF7F1E" w:rsidP="00DF7F1E">
      <w:pPr>
        <w:spacing w:line="276" w:lineRule="auto"/>
        <w:outlineLvl w:val="0"/>
        <w:rPr>
          <w:bCs/>
          <w:color w:val="0D0D0D"/>
          <w:kern w:val="36"/>
          <w:lang w:val="en" w:eastAsia="en-AU"/>
        </w:rPr>
      </w:pPr>
      <w:bookmarkStart w:id="14" w:name="_Toc459212117"/>
      <w:r w:rsidRPr="00A1135B">
        <w:rPr>
          <w:bCs/>
          <w:color w:val="0D0D0D"/>
          <w:kern w:val="36"/>
          <w:lang w:val="en" w:eastAsia="en-AU"/>
        </w:rPr>
        <w:t>Records of the Office are arranged using activities based classification and include information about the following functions and activities:</w:t>
      </w:r>
      <w:bookmarkEnd w:id="14"/>
    </w:p>
    <w:p w:rsidR="00DF7F1E" w:rsidRPr="00A1135B" w:rsidRDefault="00DF7F1E" w:rsidP="00DF7F1E">
      <w:pPr>
        <w:spacing w:line="276" w:lineRule="auto"/>
        <w:outlineLvl w:val="0"/>
        <w:rPr>
          <w:bCs/>
          <w:color w:val="0D0D0D"/>
          <w:kern w:val="36"/>
          <w:lang w:val="en" w:eastAsia="en-AU"/>
        </w:rPr>
      </w:pPr>
    </w:p>
    <w:p w:rsidR="00DF7F1E" w:rsidRPr="00A1135B" w:rsidRDefault="00DF7F1E" w:rsidP="00DF7F1E">
      <w:pPr>
        <w:numPr>
          <w:ilvl w:val="0"/>
          <w:numId w:val="4"/>
        </w:numPr>
        <w:spacing w:line="276" w:lineRule="auto"/>
        <w:ind w:left="1134" w:hanging="414"/>
        <w:contextualSpacing/>
      </w:pPr>
      <w:r w:rsidRPr="00A1135B">
        <w:t>Service One: Assessment, negotiated settlement, conciliation and investigation of complaints; and</w:t>
      </w:r>
    </w:p>
    <w:p w:rsidR="00DF7F1E" w:rsidRPr="00A1135B" w:rsidRDefault="00DF7F1E" w:rsidP="00DF7F1E">
      <w:pPr>
        <w:numPr>
          <w:ilvl w:val="0"/>
          <w:numId w:val="4"/>
        </w:numPr>
        <w:spacing w:line="276" w:lineRule="auto"/>
        <w:contextualSpacing/>
      </w:pPr>
      <w:r w:rsidRPr="00A1135B">
        <w:rPr>
          <w:bCs/>
          <w:color w:val="0D0D0D"/>
          <w:kern w:val="36"/>
          <w:lang w:val="en" w:eastAsia="en-AU"/>
        </w:rPr>
        <w:t>Service Two: Education and training in the prevention</w:t>
      </w:r>
      <w:r w:rsidR="00A27C56">
        <w:rPr>
          <w:bCs/>
          <w:color w:val="0D0D0D"/>
          <w:kern w:val="36"/>
          <w:lang w:val="en" w:eastAsia="en-AU"/>
        </w:rPr>
        <w:t xml:space="preserve"> and resolution </w:t>
      </w:r>
      <w:r w:rsidRPr="00A1135B">
        <w:rPr>
          <w:bCs/>
          <w:color w:val="0D0D0D"/>
          <w:kern w:val="36"/>
          <w:lang w:val="en" w:eastAsia="en-AU"/>
        </w:rPr>
        <w:t>of complaints.</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bCs/>
          <w:color w:val="0D0D0D"/>
          <w:kern w:val="36"/>
          <w:lang w:val="en" w:eastAsia="en-AU"/>
        </w:rPr>
      </w:pPr>
      <w:r w:rsidRPr="00A1135B">
        <w:rPr>
          <w:color w:val="0D0D0D"/>
          <w:lang w:val="en" w:eastAsia="en-AU"/>
        </w:rPr>
        <w:t xml:space="preserve">There is some information that is freely available to the public. </w:t>
      </w:r>
      <w:r w:rsidRPr="00A1135B">
        <w:rPr>
          <w:bCs/>
          <w:color w:val="0D0D0D"/>
          <w:kern w:val="36"/>
          <w:lang w:val="en" w:eastAsia="en-AU"/>
        </w:rPr>
        <w:t xml:space="preserve">Broad categories of documents including the range indicated below are available to the public and can be accessed through the Office website at </w:t>
      </w:r>
      <w:hyperlink r:id="rId9" w:history="1">
        <w:r w:rsidRPr="00A1135B">
          <w:rPr>
            <w:bCs/>
            <w:color w:val="004B8D"/>
            <w:kern w:val="36"/>
            <w:u w:val="single"/>
            <w:lang w:val="en" w:eastAsia="en-AU"/>
          </w:rPr>
          <w:t>www.hadsco.wa.gov.au</w:t>
        </w:r>
      </w:hyperlink>
      <w:r w:rsidRPr="00A1135B">
        <w:rPr>
          <w:bCs/>
          <w:color w:val="0D0D0D"/>
          <w:kern w:val="36"/>
          <w:lang w:val="en" w:eastAsia="en-AU"/>
        </w:rPr>
        <w:t xml:space="preserve"> </w:t>
      </w:r>
    </w:p>
    <w:p w:rsidR="00DF7F1E" w:rsidRPr="00A1135B" w:rsidRDefault="00DF7F1E" w:rsidP="00DF7F1E">
      <w:pPr>
        <w:spacing w:line="276" w:lineRule="auto"/>
        <w:outlineLvl w:val="0"/>
        <w:rPr>
          <w:bCs/>
          <w:color w:val="0D0D0D"/>
          <w:kern w:val="36"/>
          <w:lang w:val="en" w:eastAsia="en-AU"/>
        </w:rPr>
      </w:pPr>
    </w:p>
    <w:p w:rsidR="00DF7F1E" w:rsidRPr="00A1135B" w:rsidRDefault="00DF7F1E" w:rsidP="00DF7F1E">
      <w:pPr>
        <w:numPr>
          <w:ilvl w:val="0"/>
          <w:numId w:val="3"/>
        </w:numPr>
        <w:spacing w:line="276" w:lineRule="auto"/>
        <w:contextualSpacing/>
        <w:outlineLvl w:val="0"/>
        <w:rPr>
          <w:bCs/>
          <w:color w:val="0D0D0D"/>
          <w:kern w:val="36"/>
          <w:lang w:val="en" w:eastAsia="en-AU"/>
        </w:rPr>
      </w:pPr>
      <w:bookmarkStart w:id="15" w:name="_Toc459212118"/>
      <w:r w:rsidRPr="00A1135B">
        <w:rPr>
          <w:bCs/>
          <w:color w:val="0D0D0D"/>
          <w:kern w:val="36"/>
          <w:lang w:val="en" w:eastAsia="en-AU"/>
        </w:rPr>
        <w:t>Annual Reports</w:t>
      </w:r>
      <w:bookmarkEnd w:id="15"/>
    </w:p>
    <w:p w:rsidR="00DF7F1E" w:rsidRPr="00A1135B" w:rsidRDefault="00DF7F1E" w:rsidP="00DF7F1E">
      <w:pPr>
        <w:numPr>
          <w:ilvl w:val="0"/>
          <w:numId w:val="3"/>
        </w:numPr>
        <w:spacing w:line="276" w:lineRule="auto"/>
        <w:contextualSpacing/>
        <w:outlineLvl w:val="0"/>
        <w:rPr>
          <w:bCs/>
          <w:color w:val="0D0D0D"/>
          <w:kern w:val="36"/>
          <w:lang w:val="en" w:eastAsia="en-AU"/>
        </w:rPr>
      </w:pPr>
      <w:bookmarkStart w:id="16" w:name="_Toc459212119"/>
      <w:r w:rsidRPr="00A1135B">
        <w:rPr>
          <w:bCs/>
          <w:color w:val="0D0D0D"/>
          <w:kern w:val="36"/>
          <w:lang w:val="en" w:eastAsia="en-AU"/>
        </w:rPr>
        <w:t>Brochures on various topics</w:t>
      </w:r>
      <w:bookmarkEnd w:id="16"/>
    </w:p>
    <w:p w:rsidR="00DF7F1E" w:rsidRPr="00A1135B" w:rsidRDefault="00DF7F1E" w:rsidP="00DF7F1E">
      <w:pPr>
        <w:numPr>
          <w:ilvl w:val="0"/>
          <w:numId w:val="3"/>
        </w:numPr>
        <w:spacing w:line="276" w:lineRule="auto"/>
        <w:contextualSpacing/>
        <w:outlineLvl w:val="0"/>
        <w:rPr>
          <w:bCs/>
          <w:color w:val="0D0D0D"/>
          <w:kern w:val="36"/>
          <w:lang w:val="en" w:eastAsia="en-AU"/>
        </w:rPr>
      </w:pPr>
      <w:bookmarkStart w:id="17" w:name="_Toc459212120"/>
      <w:r w:rsidRPr="00A1135B">
        <w:rPr>
          <w:bCs/>
          <w:color w:val="0D0D0D"/>
          <w:kern w:val="36"/>
          <w:lang w:val="en" w:eastAsia="en-AU"/>
        </w:rPr>
        <w:t>Forms</w:t>
      </w:r>
      <w:bookmarkEnd w:id="17"/>
    </w:p>
    <w:p w:rsidR="00DF7F1E" w:rsidRPr="00A1135B" w:rsidRDefault="00DF7F1E" w:rsidP="00DF7F1E">
      <w:pPr>
        <w:numPr>
          <w:ilvl w:val="0"/>
          <w:numId w:val="3"/>
        </w:numPr>
        <w:spacing w:line="276" w:lineRule="auto"/>
        <w:contextualSpacing/>
        <w:outlineLvl w:val="0"/>
        <w:rPr>
          <w:bCs/>
          <w:color w:val="0D0D0D"/>
          <w:kern w:val="36"/>
          <w:lang w:val="en" w:eastAsia="en-AU"/>
        </w:rPr>
      </w:pPr>
      <w:bookmarkStart w:id="18" w:name="_Toc459212121"/>
      <w:r w:rsidRPr="00A1135B">
        <w:rPr>
          <w:bCs/>
          <w:color w:val="0D0D0D"/>
          <w:kern w:val="36"/>
          <w:lang w:val="en" w:eastAsia="en-AU"/>
        </w:rPr>
        <w:t>Information sheets on various topics</w:t>
      </w:r>
      <w:bookmarkEnd w:id="18"/>
    </w:p>
    <w:p w:rsidR="00DF7F1E" w:rsidRPr="00A1135B" w:rsidRDefault="00DF7F1E" w:rsidP="00DF7F1E">
      <w:pPr>
        <w:numPr>
          <w:ilvl w:val="0"/>
          <w:numId w:val="3"/>
        </w:numPr>
        <w:spacing w:line="276" w:lineRule="auto"/>
        <w:contextualSpacing/>
        <w:outlineLvl w:val="0"/>
        <w:rPr>
          <w:bCs/>
          <w:color w:val="0D0D0D"/>
          <w:kern w:val="36"/>
          <w:lang w:val="en" w:eastAsia="en-AU"/>
        </w:rPr>
      </w:pPr>
      <w:bookmarkStart w:id="19" w:name="_Toc459212122"/>
      <w:r w:rsidRPr="00A1135B">
        <w:rPr>
          <w:bCs/>
          <w:color w:val="0D0D0D"/>
          <w:kern w:val="36"/>
          <w:lang w:val="en" w:eastAsia="en-AU"/>
        </w:rPr>
        <w:t>Videos</w:t>
      </w:r>
      <w:bookmarkEnd w:id="19"/>
    </w:p>
    <w:p w:rsidR="00DF7F1E" w:rsidRPr="00A1135B" w:rsidRDefault="00DF7F1E" w:rsidP="00DF7F1E">
      <w:pPr>
        <w:numPr>
          <w:ilvl w:val="0"/>
          <w:numId w:val="3"/>
        </w:numPr>
        <w:spacing w:line="276" w:lineRule="auto"/>
        <w:contextualSpacing/>
        <w:outlineLvl w:val="0"/>
        <w:rPr>
          <w:bCs/>
          <w:color w:val="0D0D0D"/>
          <w:kern w:val="36"/>
          <w:lang w:val="en" w:eastAsia="en-AU"/>
        </w:rPr>
      </w:pPr>
      <w:bookmarkStart w:id="20" w:name="_Toc459212123"/>
      <w:r w:rsidRPr="00A1135B">
        <w:rPr>
          <w:bCs/>
          <w:color w:val="0D0D0D"/>
          <w:kern w:val="36"/>
          <w:lang w:val="en" w:eastAsia="en-AU"/>
        </w:rPr>
        <w:t>Reports on particular issues and emerging trends</w:t>
      </w:r>
      <w:bookmarkEnd w:id="20"/>
    </w:p>
    <w:p w:rsidR="00DF7F1E" w:rsidRPr="00A1135B" w:rsidRDefault="00DF7F1E" w:rsidP="00DF7F1E">
      <w:pPr>
        <w:numPr>
          <w:ilvl w:val="0"/>
          <w:numId w:val="3"/>
        </w:numPr>
        <w:spacing w:line="276" w:lineRule="auto"/>
        <w:contextualSpacing/>
        <w:outlineLvl w:val="0"/>
        <w:rPr>
          <w:bCs/>
          <w:color w:val="0D0D0D"/>
          <w:kern w:val="36"/>
          <w:lang w:val="en" w:eastAsia="en-AU"/>
        </w:rPr>
      </w:pPr>
      <w:bookmarkStart w:id="21" w:name="_Toc459212124"/>
      <w:r w:rsidRPr="00A1135B">
        <w:rPr>
          <w:bCs/>
          <w:color w:val="0D0D0D"/>
          <w:kern w:val="36"/>
          <w:lang w:val="en" w:eastAsia="en-AU"/>
        </w:rPr>
        <w:t>Strategic Plan</w:t>
      </w:r>
      <w:bookmarkEnd w:id="21"/>
    </w:p>
    <w:p w:rsidR="00DF7F1E" w:rsidRDefault="00DF7F1E" w:rsidP="00DF7F1E">
      <w:pPr>
        <w:numPr>
          <w:ilvl w:val="0"/>
          <w:numId w:val="3"/>
        </w:numPr>
        <w:spacing w:line="276" w:lineRule="auto"/>
        <w:contextualSpacing/>
        <w:outlineLvl w:val="0"/>
        <w:rPr>
          <w:bCs/>
          <w:color w:val="0D0D0D"/>
          <w:kern w:val="36"/>
          <w:lang w:val="en" w:eastAsia="en-AU"/>
        </w:rPr>
      </w:pPr>
      <w:bookmarkStart w:id="22" w:name="_Toc459212125"/>
      <w:r w:rsidRPr="00A1135B">
        <w:rPr>
          <w:bCs/>
          <w:color w:val="0D0D0D"/>
          <w:kern w:val="36"/>
          <w:lang w:val="en" w:eastAsia="en-AU"/>
        </w:rPr>
        <w:t>Translated brochures and documents</w:t>
      </w:r>
      <w:bookmarkEnd w:id="22"/>
    </w:p>
    <w:p w:rsidR="00DF7F1E" w:rsidRPr="00D77FCA" w:rsidRDefault="00DF7F1E" w:rsidP="00DF7F1E">
      <w:pPr>
        <w:spacing w:line="276" w:lineRule="auto"/>
        <w:ind w:left="1080"/>
        <w:contextualSpacing/>
        <w:outlineLvl w:val="0"/>
        <w:rPr>
          <w:bCs/>
          <w:color w:val="0D0D0D"/>
          <w:kern w:val="36"/>
          <w:lang w:val="en" w:eastAsia="en-AU"/>
        </w:rPr>
      </w:pPr>
    </w:p>
    <w:p w:rsidR="00DF7F1E" w:rsidRPr="00A1135B" w:rsidRDefault="00DF7F1E" w:rsidP="00DF7F1E">
      <w:pPr>
        <w:spacing w:line="276" w:lineRule="auto"/>
        <w:contextualSpacing/>
        <w:outlineLvl w:val="0"/>
        <w:rPr>
          <w:bCs/>
          <w:color w:val="0D0D0D"/>
          <w:kern w:val="36"/>
          <w:lang w:val="en" w:eastAsia="en-AU"/>
        </w:rPr>
      </w:pPr>
      <w:bookmarkStart w:id="23" w:name="_Toc459212126"/>
      <w:r w:rsidRPr="00A1135B">
        <w:rPr>
          <w:bCs/>
          <w:color w:val="0D0D0D"/>
          <w:kern w:val="36"/>
          <w:lang w:val="en" w:eastAsia="en-AU"/>
        </w:rPr>
        <w:t>If you are seeking access to a specific document which cannot be located online, please contact the FOI Coordinator on (08) 6551 7620 with your request, prior to lodging a FOI application.</w:t>
      </w:r>
      <w:bookmarkEnd w:id="23"/>
    </w:p>
    <w:p w:rsidR="00DF7F1E" w:rsidRPr="00A1135B" w:rsidRDefault="00DF7F1E" w:rsidP="00DF7F1E">
      <w:pPr>
        <w:keepNext/>
        <w:spacing w:line="276" w:lineRule="auto"/>
        <w:outlineLvl w:val="1"/>
        <w:rPr>
          <w:b/>
          <w:bCs/>
          <w:color w:val="0D0D0D"/>
          <w:lang w:val="en" w:eastAsia="en-AU"/>
        </w:rPr>
      </w:pPr>
    </w:p>
    <w:p w:rsidR="00DF7F1E" w:rsidRPr="00A1135B" w:rsidRDefault="00DF7F1E" w:rsidP="006C7EF6">
      <w:pPr>
        <w:autoSpaceDE w:val="0"/>
        <w:autoSpaceDN w:val="0"/>
        <w:spacing w:line="276" w:lineRule="auto"/>
        <w:rPr>
          <w:b/>
          <w:bCs/>
          <w:color w:val="0D0D0D"/>
          <w:lang w:val="en" w:eastAsia="en-AU"/>
        </w:rPr>
      </w:pPr>
      <w:bookmarkStart w:id="24" w:name="_Toc459212127"/>
      <w:r w:rsidRPr="006C7EF6">
        <w:rPr>
          <w:b/>
          <w:bCs/>
          <w:color w:val="044C75"/>
        </w:rPr>
        <w:t>How to Amend Your Personal Information</w:t>
      </w:r>
      <w:bookmarkEnd w:id="24"/>
    </w:p>
    <w:p w:rsidR="00DF7F1E" w:rsidRPr="00A1135B" w:rsidRDefault="00DF7F1E" w:rsidP="00DF7F1E">
      <w:pPr>
        <w:spacing w:line="276" w:lineRule="auto"/>
        <w:rPr>
          <w:color w:val="0D0D0D"/>
          <w:lang w:val="en" w:eastAsia="en-AU"/>
        </w:rPr>
      </w:pPr>
      <w:r w:rsidRPr="00A1135B">
        <w:rPr>
          <w:color w:val="0D0D0D"/>
          <w:lang w:val="en" w:eastAsia="en-AU"/>
        </w:rPr>
        <w:t xml:space="preserve">An application can be made to the FOI Coordinator to request a correction or amendment to any document/s which contain personal information. Applications must be made in writing and clearly demonstrate how or why the record/s are inaccurate, incomplete, out-of-date or misleading. </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t xml:space="preserve">Details as to the amendment to be made must be specified in the application, within the options set out in the FOI Act. </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lastRenderedPageBreak/>
        <w:t xml:space="preserve">If the Office decides to amend personal information, this will usually be done by amending the record or adding a further note to the record. </w:t>
      </w:r>
    </w:p>
    <w:p w:rsidR="00DF7F1E" w:rsidRPr="00A1135B" w:rsidRDefault="00DF7F1E" w:rsidP="00DF7F1E">
      <w:pPr>
        <w:spacing w:line="276" w:lineRule="auto"/>
        <w:rPr>
          <w:color w:val="0D0D0D"/>
          <w:lang w:val="en" w:eastAsia="en-AU"/>
        </w:rPr>
      </w:pPr>
    </w:p>
    <w:p w:rsidR="00DF7F1E" w:rsidRPr="00A1135B" w:rsidRDefault="00DF7F1E" w:rsidP="00DF7F1E">
      <w:pPr>
        <w:spacing w:line="276" w:lineRule="auto"/>
        <w:rPr>
          <w:color w:val="0D0D0D"/>
          <w:lang w:val="en" w:eastAsia="en-AU"/>
        </w:rPr>
      </w:pPr>
      <w:r w:rsidRPr="00A1135B">
        <w:rPr>
          <w:color w:val="0D0D0D"/>
          <w:lang w:val="en" w:eastAsia="en-AU"/>
        </w:rPr>
        <w:t xml:space="preserve">Similar to an FOI application, </w:t>
      </w:r>
      <w:proofErr w:type="spellStart"/>
      <w:r w:rsidRPr="00A1135B">
        <w:rPr>
          <w:color w:val="0D0D0D"/>
          <w:lang w:val="en" w:eastAsia="en-AU"/>
        </w:rPr>
        <w:t>HaDSCO</w:t>
      </w:r>
      <w:proofErr w:type="spellEnd"/>
      <w:r w:rsidRPr="00A1135B">
        <w:rPr>
          <w:color w:val="0D0D0D"/>
          <w:lang w:val="en" w:eastAsia="en-AU"/>
        </w:rPr>
        <w:t xml:space="preserve"> will inform the applicant of the decision and reasoning, via a Notice of Decision. The FOI Act also provides applicants with the right to appeal an amendment decision via the internal and external review process outlined in the decision review section. </w:t>
      </w:r>
    </w:p>
    <w:p w:rsidR="00DF7F1E" w:rsidRPr="00A1135B" w:rsidRDefault="00DF7F1E" w:rsidP="00DF7F1E">
      <w:pPr>
        <w:spacing w:line="276" w:lineRule="auto"/>
      </w:pPr>
    </w:p>
    <w:p w:rsidR="00DF7F1E" w:rsidRPr="00A1135B" w:rsidRDefault="00DF7F1E" w:rsidP="00DF7F1E">
      <w:pPr>
        <w:spacing w:after="312" w:line="276" w:lineRule="auto"/>
        <w:rPr>
          <w:color w:val="0D0D0D"/>
          <w:lang w:val="en" w:eastAsia="en-AU"/>
        </w:rPr>
      </w:pPr>
      <w:r w:rsidRPr="00A1135B">
        <w:rPr>
          <w:color w:val="0D0D0D"/>
          <w:lang w:val="en" w:eastAsia="en-AU"/>
        </w:rPr>
        <w:t>The Office of the Information Commissioner can be contacted at the following address:</w:t>
      </w:r>
    </w:p>
    <w:p w:rsidR="00DF7F1E" w:rsidRDefault="00DF7F1E" w:rsidP="006C7EF6">
      <w:pPr>
        <w:autoSpaceDE w:val="0"/>
        <w:autoSpaceDN w:val="0"/>
        <w:spacing w:line="276" w:lineRule="auto"/>
        <w:rPr>
          <w:b/>
          <w:color w:val="0D0D0D"/>
          <w:lang w:val="en" w:eastAsia="en-AU"/>
        </w:rPr>
      </w:pPr>
      <w:r w:rsidRPr="006C7EF6">
        <w:rPr>
          <w:b/>
          <w:bCs/>
          <w:color w:val="044C75"/>
        </w:rPr>
        <w:t>Office of the Information Commissioner</w:t>
      </w:r>
      <w:r w:rsidRPr="00037AF1">
        <w:rPr>
          <w:b/>
          <w:color w:val="0D0D0D"/>
          <w:lang w:val="en" w:eastAsia="en-AU"/>
        </w:rPr>
        <w:t xml:space="preserve"> </w:t>
      </w:r>
    </w:p>
    <w:p w:rsidR="006C7EF6" w:rsidRDefault="006C7EF6" w:rsidP="006C7EF6">
      <w:pPr>
        <w:autoSpaceDE w:val="0"/>
        <w:autoSpaceDN w:val="0"/>
        <w:spacing w:line="276" w:lineRule="auto"/>
        <w:rPr>
          <w:b/>
          <w:color w:val="0D0D0D"/>
          <w:lang w:val="en" w:eastAsia="en-AU"/>
        </w:rPr>
      </w:pPr>
    </w:p>
    <w:p w:rsidR="00DF7F1E" w:rsidRPr="00037AF1" w:rsidRDefault="00DF7F1E" w:rsidP="00DF7F1E">
      <w:pPr>
        <w:spacing w:after="270" w:line="276" w:lineRule="auto"/>
        <w:rPr>
          <w:color w:val="0D0D0D"/>
          <w:lang w:val="en" w:eastAsia="en-AU"/>
        </w:rPr>
      </w:pPr>
      <w:r w:rsidRPr="00037AF1">
        <w:rPr>
          <w:color w:val="0D0D0D"/>
          <w:lang w:val="en" w:eastAsia="en-AU"/>
        </w:rPr>
        <w:t xml:space="preserve">Albert </w:t>
      </w:r>
      <w:proofErr w:type="spellStart"/>
      <w:r w:rsidRPr="00037AF1">
        <w:rPr>
          <w:color w:val="0D0D0D"/>
          <w:lang w:val="en" w:eastAsia="en-AU"/>
        </w:rPr>
        <w:t>Facey</w:t>
      </w:r>
      <w:proofErr w:type="spellEnd"/>
      <w:r w:rsidRPr="00037AF1">
        <w:rPr>
          <w:color w:val="0D0D0D"/>
          <w:lang w:val="en" w:eastAsia="en-AU"/>
        </w:rPr>
        <w:t xml:space="preserve"> House</w:t>
      </w:r>
      <w:r w:rsidRPr="00037AF1">
        <w:rPr>
          <w:color w:val="0D0D0D"/>
          <w:lang w:val="en" w:eastAsia="en-AU"/>
        </w:rPr>
        <w:br/>
        <w:t>469 Wellington Street</w:t>
      </w:r>
      <w:r w:rsidRPr="00037AF1">
        <w:rPr>
          <w:color w:val="0D0D0D"/>
          <w:lang w:val="en" w:eastAsia="en-AU"/>
        </w:rPr>
        <w:br/>
        <w:t>PERTH WA 6000</w:t>
      </w:r>
    </w:p>
    <w:p w:rsidR="00DF7F1E" w:rsidRDefault="00DF7F1E" w:rsidP="00DF7F1E">
      <w:pPr>
        <w:spacing w:line="276" w:lineRule="auto"/>
        <w:rPr>
          <w:color w:val="0D0D0D"/>
          <w:lang w:val="en" w:eastAsia="en-AU"/>
        </w:rPr>
      </w:pPr>
      <w:r w:rsidRPr="00037AF1">
        <w:rPr>
          <w:color w:val="0D0D0D"/>
          <w:lang w:val="en" w:eastAsia="en-AU"/>
        </w:rPr>
        <w:t>Tel: (08) 6551 7888</w:t>
      </w:r>
      <w:r w:rsidRPr="00037AF1">
        <w:rPr>
          <w:color w:val="0D0D0D"/>
          <w:lang w:val="en" w:eastAsia="en-AU"/>
        </w:rPr>
        <w:br/>
        <w:t xml:space="preserve">Toll Free: 1800 621 244 (Western Australia only) </w:t>
      </w:r>
      <w:r w:rsidRPr="00037AF1">
        <w:rPr>
          <w:color w:val="0D0D0D"/>
          <w:lang w:val="en" w:eastAsia="en-AU"/>
        </w:rPr>
        <w:br/>
        <w:t xml:space="preserve">Fax: (08) 6551 7889 </w:t>
      </w:r>
    </w:p>
    <w:p w:rsidR="00DF7F1E" w:rsidRPr="00037AF1" w:rsidRDefault="00DF7F1E" w:rsidP="00DF7F1E">
      <w:pPr>
        <w:spacing w:line="276" w:lineRule="auto"/>
      </w:pPr>
      <w:r w:rsidRPr="00037AF1">
        <w:rPr>
          <w:color w:val="303539"/>
          <w:lang w:val="en" w:eastAsia="en-AU"/>
        </w:rPr>
        <w:br/>
      </w:r>
      <w:hyperlink r:id="rId10" w:history="1">
        <w:r w:rsidRPr="00037AF1">
          <w:rPr>
            <w:color w:val="004990"/>
            <w:u w:val="single"/>
            <w:lang w:val="en" w:eastAsia="en-AU"/>
          </w:rPr>
          <w:t>info@foi.wa.gov.au</w:t>
        </w:r>
      </w:hyperlink>
      <w:r w:rsidRPr="00037AF1">
        <w:rPr>
          <w:color w:val="303539"/>
          <w:lang w:val="en" w:eastAsia="en-AU"/>
        </w:rPr>
        <w:t xml:space="preserve"> </w:t>
      </w:r>
      <w:r w:rsidRPr="00037AF1">
        <w:rPr>
          <w:color w:val="303539"/>
          <w:lang w:val="en" w:eastAsia="en-AU"/>
        </w:rPr>
        <w:br/>
      </w:r>
      <w:hyperlink r:id="rId11" w:history="1">
        <w:r w:rsidRPr="00037AF1">
          <w:rPr>
            <w:color w:val="004990"/>
            <w:u w:val="single"/>
            <w:lang w:val="en" w:eastAsia="en-AU"/>
          </w:rPr>
          <w:t>www.foi.wa.gov.au</w:t>
        </w:r>
      </w:hyperlink>
    </w:p>
    <w:p w:rsidR="00DF7F1E" w:rsidRPr="00A1135B" w:rsidRDefault="00DF7F1E" w:rsidP="00DF7F1E">
      <w:pPr>
        <w:spacing w:line="276" w:lineRule="auto"/>
      </w:pPr>
    </w:p>
    <w:sectPr w:rsidR="00DF7F1E" w:rsidRPr="00A1135B" w:rsidSect="006C7EF6">
      <w:headerReference w:type="default" r:id="rId12"/>
      <w:footerReference w:type="default" r:id="rId13"/>
      <w:headerReference w:type="first" r:id="rId14"/>
      <w:footerReference w:type="first" r:id="rId15"/>
      <w:pgSz w:w="11906" w:h="16838"/>
      <w:pgMar w:top="1440" w:right="1440" w:bottom="1440" w:left="1440"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97E" w:rsidRDefault="003A797E" w:rsidP="0092570F">
      <w:r>
        <w:separator/>
      </w:r>
    </w:p>
  </w:endnote>
  <w:endnote w:type="continuationSeparator" w:id="0">
    <w:p w:rsidR="003A797E" w:rsidRDefault="003A797E" w:rsidP="0092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408850"/>
      <w:docPartObj>
        <w:docPartGallery w:val="Page Numbers (Bottom of Page)"/>
        <w:docPartUnique/>
      </w:docPartObj>
    </w:sdtPr>
    <w:sdtEndPr>
      <w:rPr>
        <w:noProof/>
        <w:sz w:val="18"/>
        <w:szCs w:val="18"/>
      </w:rPr>
    </w:sdtEndPr>
    <w:sdtContent>
      <w:p w:rsidR="006C7EF6" w:rsidRPr="006C7EF6" w:rsidRDefault="006C7EF6">
        <w:pPr>
          <w:pStyle w:val="Footer"/>
          <w:jc w:val="center"/>
          <w:rPr>
            <w:sz w:val="18"/>
            <w:szCs w:val="18"/>
          </w:rPr>
        </w:pPr>
        <w:r w:rsidRPr="006C7EF6">
          <w:rPr>
            <w:sz w:val="18"/>
            <w:szCs w:val="18"/>
          </w:rPr>
          <w:fldChar w:fldCharType="begin"/>
        </w:r>
        <w:r w:rsidRPr="006C7EF6">
          <w:rPr>
            <w:sz w:val="18"/>
            <w:szCs w:val="18"/>
          </w:rPr>
          <w:instrText xml:space="preserve"> PAGE   \* MERGEFORMAT </w:instrText>
        </w:r>
        <w:r w:rsidRPr="006C7EF6">
          <w:rPr>
            <w:sz w:val="18"/>
            <w:szCs w:val="18"/>
          </w:rPr>
          <w:fldChar w:fldCharType="separate"/>
        </w:r>
        <w:r w:rsidR="000401E6">
          <w:rPr>
            <w:noProof/>
            <w:sz w:val="18"/>
            <w:szCs w:val="18"/>
          </w:rPr>
          <w:t>5</w:t>
        </w:r>
        <w:r w:rsidRPr="006C7EF6">
          <w:rPr>
            <w:noProof/>
            <w:sz w:val="18"/>
            <w:szCs w:val="18"/>
          </w:rPr>
          <w:fldChar w:fldCharType="end"/>
        </w:r>
      </w:p>
    </w:sdtContent>
  </w:sdt>
  <w:p w:rsidR="006C7EF6" w:rsidRDefault="006C7E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E7A" w:rsidRDefault="00B40E7A" w:rsidP="00B40E7A">
    <w:pPr>
      <w:pStyle w:val="Footer"/>
      <w:jc w:val="center"/>
    </w:pPr>
  </w:p>
  <w:p w:rsidR="00B40E7A" w:rsidRDefault="00B40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97E" w:rsidRDefault="003A797E" w:rsidP="0092570F">
      <w:r>
        <w:separator/>
      </w:r>
    </w:p>
  </w:footnote>
  <w:footnote w:type="continuationSeparator" w:id="0">
    <w:p w:rsidR="003A797E" w:rsidRDefault="003A797E" w:rsidP="00925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0F" w:rsidRDefault="0092570F" w:rsidP="0092570F">
    <w:pPr>
      <w:pStyle w:val="Header"/>
      <w:tabs>
        <w:tab w:val="clear" w:pos="4513"/>
        <w:tab w:val="clear" w:pos="9026"/>
        <w:tab w:val="left" w:pos="670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E7A" w:rsidRDefault="00B40E7A">
    <w:pPr>
      <w:pStyle w:val="Header"/>
    </w:pPr>
    <w:r>
      <w:rPr>
        <w:noProof/>
        <w:lang w:eastAsia="en-AU"/>
      </w:rPr>
      <w:drawing>
        <wp:anchor distT="0" distB="0" distL="114300" distR="114300" simplePos="0" relativeHeight="251660288" behindDoc="0" locked="0" layoutInCell="1" allowOverlap="1" wp14:anchorId="7381D740" wp14:editId="572B97B4">
          <wp:simplePos x="0" y="0"/>
          <wp:positionH relativeFrom="column">
            <wp:posOffset>4542790</wp:posOffset>
          </wp:positionH>
          <wp:positionV relativeFrom="paragraph">
            <wp:posOffset>-30480</wp:posOffset>
          </wp:positionV>
          <wp:extent cx="1187450" cy="737235"/>
          <wp:effectExtent l="0" t="0" r="0" b="5715"/>
          <wp:wrapNone/>
          <wp:docPr id="6" name="Picture 6" descr="HaDSCO only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DSCO only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7450" cy="737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2336" behindDoc="1" locked="0" layoutInCell="1" allowOverlap="1" wp14:anchorId="3E67ABFB" wp14:editId="2A3DA2FD">
              <wp:simplePos x="0" y="0"/>
              <wp:positionH relativeFrom="column">
                <wp:posOffset>1123950</wp:posOffset>
              </wp:positionH>
              <wp:positionV relativeFrom="paragraph">
                <wp:posOffset>274320</wp:posOffset>
              </wp:positionV>
              <wp:extent cx="3038475" cy="47625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476250"/>
                      </a:xfrm>
                      <a:prstGeom prst="rect">
                        <a:avLst/>
                      </a:prstGeom>
                      <a:solidFill>
                        <a:srgbClr val="FFFFFF"/>
                      </a:solidFill>
                      <a:ln w="9525">
                        <a:noFill/>
                        <a:miter lim="800000"/>
                        <a:headEnd/>
                        <a:tailEnd/>
                      </a:ln>
                    </wps:spPr>
                    <wps:txbx>
                      <w:txbxContent>
                        <w:p w:rsidR="0092570F" w:rsidRDefault="0092570F">
                          <w:r w:rsidRPr="00090F1C">
                            <w:rPr>
                              <w:sz w:val="18"/>
                              <w:szCs w:val="18"/>
                              <w:lang w:val="en-US"/>
                            </w:rPr>
                            <w:t xml:space="preserve">Government of </w:t>
                          </w:r>
                          <w:r w:rsidRPr="00090F1C">
                            <w:rPr>
                              <w:b/>
                              <w:sz w:val="18"/>
                              <w:szCs w:val="18"/>
                              <w:lang w:val="en-US"/>
                            </w:rPr>
                            <w:t>Western Australia</w:t>
                          </w:r>
                          <w:r w:rsidRPr="00090F1C">
                            <w:rPr>
                              <w:sz w:val="18"/>
                              <w:szCs w:val="18"/>
                              <w:lang w:val="en-US"/>
                            </w:rPr>
                            <w:br/>
                          </w:r>
                          <w:r w:rsidRPr="00090F1C">
                            <w:rPr>
                              <w:b/>
                              <w:sz w:val="18"/>
                              <w:szCs w:val="18"/>
                              <w:lang w:val="en-US"/>
                            </w:rPr>
                            <w:t>Health and Disability Services Complaints Office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8.5pt;margin-top:21.6pt;width:239.25pt;height:3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" stroked="f">
              <v:textbox>
                <w:txbxContent>
                  <w:p w:rsidR="0092570F" w:rsidRDefault="0092570F">
                    <w:r w:rsidRPr="00090F1C">
                      <w:rPr>
                        <w:sz w:val="18"/>
                        <w:szCs w:val="18"/>
                        <w:lang w:val="en-US"/>
                      </w:rPr>
                      <w:t xml:space="preserve">Government of </w:t>
                    </w:r>
                    <w:r w:rsidRPr="00090F1C">
                      <w:rPr>
                        <w:b/>
                        <w:sz w:val="18"/>
                        <w:szCs w:val="18"/>
                        <w:lang w:val="en-US"/>
                      </w:rPr>
                      <w:t>Western Australia</w:t>
                    </w:r>
                    <w:r w:rsidRPr="00090F1C">
                      <w:rPr>
                        <w:sz w:val="18"/>
                        <w:szCs w:val="18"/>
                        <w:lang w:val="en-US"/>
                      </w:rPr>
                      <w:br/>
                    </w:r>
                    <w:r w:rsidRPr="00090F1C">
                      <w:rPr>
                        <w:b/>
                        <w:sz w:val="18"/>
                        <w:szCs w:val="18"/>
                        <w:lang w:val="en-US"/>
                      </w:rPr>
                      <w:t>Health and Disability Services Complaints Office</w:t>
                    </w:r>
                  </w:p>
                </w:txbxContent>
              </v:textbox>
            </v:shape>
          </w:pict>
        </mc:Fallback>
      </mc:AlternateContent>
    </w:r>
    <w:r>
      <w:rPr>
        <w:noProof/>
        <w:lang w:eastAsia="en-AU"/>
      </w:rPr>
      <w:drawing>
        <wp:anchor distT="0" distB="0" distL="114300" distR="114300" simplePos="0" relativeHeight="251659264" behindDoc="0" locked="0" layoutInCell="1" allowOverlap="1" wp14:anchorId="19A27F7B" wp14:editId="0A0154AC">
          <wp:simplePos x="0" y="0"/>
          <wp:positionH relativeFrom="column">
            <wp:posOffset>85090</wp:posOffset>
          </wp:positionH>
          <wp:positionV relativeFrom="paragraph">
            <wp:posOffset>-78105</wp:posOffset>
          </wp:positionV>
          <wp:extent cx="1116330" cy="831215"/>
          <wp:effectExtent l="0" t="0" r="7620" b="6985"/>
          <wp:wrapNone/>
          <wp:docPr id="7" name="Picture 7" descr="coat_of_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t_of_arm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330" cy="831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124AF"/>
    <w:multiLevelType w:val="hybridMultilevel"/>
    <w:tmpl w:val="0ED426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25124A33"/>
    <w:multiLevelType w:val="hybridMultilevel"/>
    <w:tmpl w:val="70BECC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266C3284"/>
    <w:multiLevelType w:val="hybridMultilevel"/>
    <w:tmpl w:val="52B0B89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2F161FCE"/>
    <w:multiLevelType w:val="hybridMultilevel"/>
    <w:tmpl w:val="9342C1B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4B5366E5"/>
    <w:multiLevelType w:val="hybridMultilevel"/>
    <w:tmpl w:val="4EF69A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5BCE3BCC"/>
    <w:multiLevelType w:val="hybridMultilevel"/>
    <w:tmpl w:val="8D6295C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F1E"/>
    <w:rsid w:val="000401E6"/>
    <w:rsid w:val="0037075E"/>
    <w:rsid w:val="003A797E"/>
    <w:rsid w:val="00427DBC"/>
    <w:rsid w:val="00586986"/>
    <w:rsid w:val="006C7EF6"/>
    <w:rsid w:val="008133DD"/>
    <w:rsid w:val="009167A1"/>
    <w:rsid w:val="0092570F"/>
    <w:rsid w:val="009B487D"/>
    <w:rsid w:val="009D7F10"/>
    <w:rsid w:val="00A27C56"/>
    <w:rsid w:val="00B3099E"/>
    <w:rsid w:val="00B40E7A"/>
    <w:rsid w:val="00DF7F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F1E"/>
    <w:pPr>
      <w:spacing w:after="0" w:line="240" w:lineRule="auto"/>
    </w:pPr>
    <w:rPr>
      <w:rFonts w:ascii="Arial" w:eastAsia="Times New Roman" w:hAnsi="Arial" w:cs="Arial"/>
      <w:sz w:val="24"/>
      <w:szCs w:val="24"/>
    </w:rPr>
  </w:style>
  <w:style w:type="paragraph" w:styleId="Heading3">
    <w:name w:val="heading 3"/>
    <w:basedOn w:val="Normal"/>
    <w:next w:val="Normal"/>
    <w:link w:val="Heading3Char"/>
    <w:uiPriority w:val="9"/>
    <w:unhideWhenUsed/>
    <w:qFormat/>
    <w:rsid w:val="00DF7F1E"/>
    <w:pPr>
      <w:spacing w:line="276" w:lineRule="auto"/>
      <w:outlineLvl w:val="2"/>
    </w:pPr>
    <w:rPr>
      <w:rFonts w:eastAsiaTheme="majorEastAsia" w:cstheme="majorBidi"/>
      <w:b/>
      <w:bCs/>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F7F1E"/>
    <w:rPr>
      <w:rFonts w:ascii="Arial" w:eastAsiaTheme="majorEastAsia" w:hAnsi="Arial" w:cstheme="majorBidi"/>
      <w:b/>
      <w:bCs/>
      <w:iCs/>
      <w:color w:val="365F91" w:themeColor="accent1" w:themeShade="BF"/>
      <w:sz w:val="24"/>
      <w:szCs w:val="24"/>
    </w:rPr>
  </w:style>
  <w:style w:type="character" w:styleId="Hyperlink">
    <w:name w:val="Hyperlink"/>
    <w:uiPriority w:val="99"/>
    <w:unhideWhenUsed/>
    <w:rsid w:val="00DF7F1E"/>
    <w:rPr>
      <w:color w:val="0000FF"/>
      <w:u w:val="single"/>
    </w:rPr>
  </w:style>
  <w:style w:type="table" w:styleId="TableGrid">
    <w:name w:val="Table Grid"/>
    <w:basedOn w:val="TableNormal"/>
    <w:uiPriority w:val="59"/>
    <w:rsid w:val="00DF7F1E"/>
    <w:pPr>
      <w:spacing w:after="0" w:line="240" w:lineRule="auto"/>
    </w:pPr>
    <w:rPr>
      <w:rFonts w:ascii="Arial" w:eastAsia="Times New Roman" w:hAnsi="Arial" w:cs="Arial"/>
      <w:sz w:val="18"/>
      <w:szCs w:val="18"/>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570F"/>
    <w:pPr>
      <w:tabs>
        <w:tab w:val="center" w:pos="4513"/>
        <w:tab w:val="right" w:pos="9026"/>
      </w:tabs>
    </w:pPr>
  </w:style>
  <w:style w:type="character" w:customStyle="1" w:styleId="HeaderChar">
    <w:name w:val="Header Char"/>
    <w:basedOn w:val="DefaultParagraphFont"/>
    <w:link w:val="Header"/>
    <w:uiPriority w:val="99"/>
    <w:rsid w:val="0092570F"/>
    <w:rPr>
      <w:rFonts w:ascii="Arial" w:eastAsia="Times New Roman" w:hAnsi="Arial" w:cs="Arial"/>
      <w:sz w:val="24"/>
      <w:szCs w:val="24"/>
    </w:rPr>
  </w:style>
  <w:style w:type="paragraph" w:styleId="Footer">
    <w:name w:val="footer"/>
    <w:basedOn w:val="Normal"/>
    <w:link w:val="FooterChar"/>
    <w:uiPriority w:val="99"/>
    <w:unhideWhenUsed/>
    <w:rsid w:val="0092570F"/>
    <w:pPr>
      <w:tabs>
        <w:tab w:val="center" w:pos="4513"/>
        <w:tab w:val="right" w:pos="9026"/>
      </w:tabs>
    </w:pPr>
  </w:style>
  <w:style w:type="character" w:customStyle="1" w:styleId="FooterChar">
    <w:name w:val="Footer Char"/>
    <w:basedOn w:val="DefaultParagraphFont"/>
    <w:link w:val="Footer"/>
    <w:uiPriority w:val="99"/>
    <w:rsid w:val="0092570F"/>
    <w:rPr>
      <w:rFonts w:ascii="Arial" w:eastAsia="Times New Roman" w:hAnsi="Arial" w:cs="Arial"/>
      <w:sz w:val="24"/>
      <w:szCs w:val="24"/>
    </w:rPr>
  </w:style>
  <w:style w:type="paragraph" w:styleId="BalloonText">
    <w:name w:val="Balloon Text"/>
    <w:basedOn w:val="Normal"/>
    <w:link w:val="BalloonTextChar"/>
    <w:uiPriority w:val="99"/>
    <w:semiHidden/>
    <w:unhideWhenUsed/>
    <w:rsid w:val="0092570F"/>
    <w:rPr>
      <w:rFonts w:ascii="Tahoma" w:hAnsi="Tahoma" w:cs="Tahoma"/>
      <w:sz w:val="16"/>
      <w:szCs w:val="16"/>
    </w:rPr>
  </w:style>
  <w:style w:type="character" w:customStyle="1" w:styleId="BalloonTextChar">
    <w:name w:val="Balloon Text Char"/>
    <w:basedOn w:val="DefaultParagraphFont"/>
    <w:link w:val="BalloonText"/>
    <w:uiPriority w:val="99"/>
    <w:semiHidden/>
    <w:rsid w:val="0092570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F1E"/>
    <w:pPr>
      <w:spacing w:after="0" w:line="240" w:lineRule="auto"/>
    </w:pPr>
    <w:rPr>
      <w:rFonts w:ascii="Arial" w:eastAsia="Times New Roman" w:hAnsi="Arial" w:cs="Arial"/>
      <w:sz w:val="24"/>
      <w:szCs w:val="24"/>
    </w:rPr>
  </w:style>
  <w:style w:type="paragraph" w:styleId="Heading3">
    <w:name w:val="heading 3"/>
    <w:basedOn w:val="Normal"/>
    <w:next w:val="Normal"/>
    <w:link w:val="Heading3Char"/>
    <w:uiPriority w:val="9"/>
    <w:unhideWhenUsed/>
    <w:qFormat/>
    <w:rsid w:val="00DF7F1E"/>
    <w:pPr>
      <w:spacing w:line="276" w:lineRule="auto"/>
      <w:outlineLvl w:val="2"/>
    </w:pPr>
    <w:rPr>
      <w:rFonts w:eastAsiaTheme="majorEastAsia" w:cstheme="majorBidi"/>
      <w:b/>
      <w:bCs/>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F7F1E"/>
    <w:rPr>
      <w:rFonts w:ascii="Arial" w:eastAsiaTheme="majorEastAsia" w:hAnsi="Arial" w:cstheme="majorBidi"/>
      <w:b/>
      <w:bCs/>
      <w:iCs/>
      <w:color w:val="365F91" w:themeColor="accent1" w:themeShade="BF"/>
      <w:sz w:val="24"/>
      <w:szCs w:val="24"/>
    </w:rPr>
  </w:style>
  <w:style w:type="character" w:styleId="Hyperlink">
    <w:name w:val="Hyperlink"/>
    <w:uiPriority w:val="99"/>
    <w:unhideWhenUsed/>
    <w:rsid w:val="00DF7F1E"/>
    <w:rPr>
      <w:color w:val="0000FF"/>
      <w:u w:val="single"/>
    </w:rPr>
  </w:style>
  <w:style w:type="table" w:styleId="TableGrid">
    <w:name w:val="Table Grid"/>
    <w:basedOn w:val="TableNormal"/>
    <w:uiPriority w:val="59"/>
    <w:rsid w:val="00DF7F1E"/>
    <w:pPr>
      <w:spacing w:after="0" w:line="240" w:lineRule="auto"/>
    </w:pPr>
    <w:rPr>
      <w:rFonts w:ascii="Arial" w:eastAsia="Times New Roman" w:hAnsi="Arial" w:cs="Arial"/>
      <w:sz w:val="18"/>
      <w:szCs w:val="18"/>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570F"/>
    <w:pPr>
      <w:tabs>
        <w:tab w:val="center" w:pos="4513"/>
        <w:tab w:val="right" w:pos="9026"/>
      </w:tabs>
    </w:pPr>
  </w:style>
  <w:style w:type="character" w:customStyle="1" w:styleId="HeaderChar">
    <w:name w:val="Header Char"/>
    <w:basedOn w:val="DefaultParagraphFont"/>
    <w:link w:val="Header"/>
    <w:uiPriority w:val="99"/>
    <w:rsid w:val="0092570F"/>
    <w:rPr>
      <w:rFonts w:ascii="Arial" w:eastAsia="Times New Roman" w:hAnsi="Arial" w:cs="Arial"/>
      <w:sz w:val="24"/>
      <w:szCs w:val="24"/>
    </w:rPr>
  </w:style>
  <w:style w:type="paragraph" w:styleId="Footer">
    <w:name w:val="footer"/>
    <w:basedOn w:val="Normal"/>
    <w:link w:val="FooterChar"/>
    <w:uiPriority w:val="99"/>
    <w:unhideWhenUsed/>
    <w:rsid w:val="0092570F"/>
    <w:pPr>
      <w:tabs>
        <w:tab w:val="center" w:pos="4513"/>
        <w:tab w:val="right" w:pos="9026"/>
      </w:tabs>
    </w:pPr>
  </w:style>
  <w:style w:type="character" w:customStyle="1" w:styleId="FooterChar">
    <w:name w:val="Footer Char"/>
    <w:basedOn w:val="DefaultParagraphFont"/>
    <w:link w:val="Footer"/>
    <w:uiPriority w:val="99"/>
    <w:rsid w:val="0092570F"/>
    <w:rPr>
      <w:rFonts w:ascii="Arial" w:eastAsia="Times New Roman" w:hAnsi="Arial" w:cs="Arial"/>
      <w:sz w:val="24"/>
      <w:szCs w:val="24"/>
    </w:rPr>
  </w:style>
  <w:style w:type="paragraph" w:styleId="BalloonText">
    <w:name w:val="Balloon Text"/>
    <w:basedOn w:val="Normal"/>
    <w:link w:val="BalloonTextChar"/>
    <w:uiPriority w:val="99"/>
    <w:semiHidden/>
    <w:unhideWhenUsed/>
    <w:rsid w:val="0092570F"/>
    <w:rPr>
      <w:rFonts w:ascii="Tahoma" w:hAnsi="Tahoma" w:cs="Tahoma"/>
      <w:sz w:val="16"/>
      <w:szCs w:val="16"/>
    </w:rPr>
  </w:style>
  <w:style w:type="character" w:customStyle="1" w:styleId="BalloonTextChar">
    <w:name w:val="Balloon Text Char"/>
    <w:basedOn w:val="DefaultParagraphFont"/>
    <w:link w:val="BalloonText"/>
    <w:uiPriority w:val="99"/>
    <w:semiHidden/>
    <w:rsid w:val="009257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il@hadsco.wa.gov.a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police.wa.gov.au/Site/Links/Office-of-the-Information-Commission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foi.wa.gov.au" TargetMode="External"/><Relationship Id="rId4" Type="http://schemas.openxmlformats.org/officeDocument/2006/relationships/settings" Target="settings.xml"/><Relationship Id="rId9" Type="http://schemas.openxmlformats.org/officeDocument/2006/relationships/hyperlink" Target="http://www.hadsco.wa.gov.au"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WA Health</Company>
  <LinksUpToDate>false</LinksUpToDate>
  <CharactersWithSpaces>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Lawton, Katy</dc:creator>
  <cp:lastModifiedBy>Newman, Vicky</cp:lastModifiedBy>
  <cp:revision>2</cp:revision>
  <dcterms:created xsi:type="dcterms:W3CDTF">2016-10-13T08:22:00Z</dcterms:created>
  <dcterms:modified xsi:type="dcterms:W3CDTF">2016-10-13T08:22:00Z</dcterms:modified>
</cp:coreProperties>
</file>